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42A496" w14:textId="23CC975B" w:rsidR="002B4F4A" w:rsidRPr="00AC35FA" w:rsidRDefault="00CC6142" w:rsidP="00832408">
      <w:pPr>
        <w:spacing w:after="0" w:line="240" w:lineRule="auto"/>
        <w:jc w:val="center"/>
        <w:rPr>
          <w:rFonts w:ascii="Verdana" w:hAnsi="Verdana"/>
          <w:b/>
          <w:bCs/>
        </w:rPr>
      </w:pPr>
      <w:r w:rsidRPr="00AC35FA">
        <w:rPr>
          <w:rFonts w:ascii="Verdana" w:hAnsi="Verdana"/>
          <w:b/>
          <w:bCs/>
        </w:rPr>
        <w:t>PARTE</w:t>
      </w:r>
      <w:r w:rsidR="00A41E5E" w:rsidRPr="00AC35FA">
        <w:rPr>
          <w:rFonts w:ascii="Verdana" w:hAnsi="Verdana"/>
          <w:b/>
          <w:bCs/>
        </w:rPr>
        <w:t xml:space="preserve"> </w:t>
      </w:r>
      <w:r w:rsidR="001A1549" w:rsidRPr="00AC35FA">
        <w:rPr>
          <w:rFonts w:ascii="Verdana" w:hAnsi="Verdana"/>
          <w:b/>
          <w:bCs/>
        </w:rPr>
        <w:t>1</w:t>
      </w:r>
    </w:p>
    <w:p w14:paraId="6000F327" w14:textId="54FFCEDD" w:rsidR="0006736C" w:rsidRPr="00AC35FA" w:rsidRDefault="001A1549" w:rsidP="00832408">
      <w:pPr>
        <w:spacing w:after="0" w:line="240" w:lineRule="auto"/>
        <w:jc w:val="center"/>
        <w:rPr>
          <w:rFonts w:ascii="Verdana" w:hAnsi="Verdana"/>
          <w:b/>
          <w:bCs/>
        </w:rPr>
      </w:pPr>
      <w:r w:rsidRPr="00AC35FA">
        <w:rPr>
          <w:rFonts w:ascii="Verdana" w:hAnsi="Verdana"/>
          <w:b/>
          <w:bCs/>
        </w:rPr>
        <w:t>ADMINISTRACIÓN DE RIESGOS</w:t>
      </w:r>
    </w:p>
    <w:p w14:paraId="1BF07C81" w14:textId="77777777" w:rsidR="00721D02" w:rsidRPr="00AC35FA" w:rsidRDefault="00721D02" w:rsidP="00832408">
      <w:pPr>
        <w:spacing w:after="0" w:line="240" w:lineRule="auto"/>
        <w:jc w:val="center"/>
        <w:rPr>
          <w:rFonts w:ascii="Verdana" w:hAnsi="Verdana"/>
          <w:b/>
          <w:bCs/>
        </w:rPr>
      </w:pPr>
    </w:p>
    <w:p w14:paraId="438B98D3" w14:textId="3C69592D" w:rsidR="00A41E5E" w:rsidRPr="00AC35FA" w:rsidRDefault="00A41E5E" w:rsidP="00832408">
      <w:pPr>
        <w:spacing w:after="0" w:line="240" w:lineRule="auto"/>
        <w:jc w:val="center"/>
        <w:rPr>
          <w:rFonts w:ascii="Verdana" w:hAnsi="Verdana"/>
          <w:b/>
          <w:bCs/>
        </w:rPr>
      </w:pPr>
      <w:r w:rsidRPr="00AC35FA">
        <w:rPr>
          <w:rFonts w:ascii="Verdana" w:hAnsi="Verdana"/>
          <w:b/>
          <w:bCs/>
        </w:rPr>
        <w:t xml:space="preserve">CAPÍTULO </w:t>
      </w:r>
      <w:r w:rsidR="008251BF" w:rsidRPr="00AC35FA">
        <w:rPr>
          <w:rFonts w:ascii="Verdana" w:hAnsi="Verdana"/>
          <w:b/>
          <w:bCs/>
        </w:rPr>
        <w:t>5</w:t>
      </w:r>
    </w:p>
    <w:p w14:paraId="2A3E7952" w14:textId="31A0899C" w:rsidR="00A91BD2" w:rsidRPr="00AC35FA" w:rsidRDefault="00A619F6" w:rsidP="00832408">
      <w:pPr>
        <w:spacing w:after="0" w:line="240" w:lineRule="auto"/>
        <w:jc w:val="center"/>
        <w:rPr>
          <w:rFonts w:ascii="Verdana" w:hAnsi="Verdana"/>
          <w:b/>
          <w:bCs/>
          <w:lang w:val="es-419"/>
        </w:rPr>
      </w:pPr>
      <w:r>
        <w:rPr>
          <w:rFonts w:ascii="Verdana" w:hAnsi="Verdana" w:cs="Arial"/>
          <w:b/>
        </w:rPr>
        <w:t>GESTIÓN</w:t>
      </w:r>
      <w:r w:rsidR="00BA1FD6">
        <w:rPr>
          <w:rFonts w:ascii="Verdana" w:hAnsi="Verdana" w:cs="Arial"/>
          <w:b/>
        </w:rPr>
        <w:t xml:space="preserve"> DE</w:t>
      </w:r>
      <w:r>
        <w:rPr>
          <w:rFonts w:ascii="Verdana" w:hAnsi="Verdana" w:cs="Arial"/>
          <w:b/>
        </w:rPr>
        <w:t>L</w:t>
      </w:r>
      <w:r w:rsidR="00BA1FD6">
        <w:rPr>
          <w:rFonts w:ascii="Verdana" w:hAnsi="Verdana" w:cs="Arial"/>
          <w:b/>
        </w:rPr>
        <w:t xml:space="preserve"> </w:t>
      </w:r>
      <w:r w:rsidR="008251BF" w:rsidRPr="00AC35FA">
        <w:rPr>
          <w:rFonts w:ascii="Verdana" w:hAnsi="Verdana" w:cs="Arial"/>
          <w:b/>
        </w:rPr>
        <w:t>RIESGO DE CONDUCTAS</w:t>
      </w:r>
      <w:r w:rsidR="008A7B53">
        <w:rPr>
          <w:rFonts w:ascii="Verdana" w:hAnsi="Verdana" w:cs="Arial"/>
          <w:b/>
        </w:rPr>
        <w:t xml:space="preserve"> DE AFECTACIÓN AL CONSUMIDOR FINANCIERO</w:t>
      </w:r>
      <w:r w:rsidR="008251BF" w:rsidRPr="00AC35FA">
        <w:rPr>
          <w:rFonts w:ascii="Verdana" w:hAnsi="Verdana" w:cs="Arial"/>
          <w:b/>
        </w:rPr>
        <w:t xml:space="preserve"> </w:t>
      </w:r>
      <w:r w:rsidR="00BC14BF" w:rsidRPr="00AC35FA">
        <w:rPr>
          <w:rFonts w:ascii="Verdana" w:hAnsi="Verdana" w:cs="Arial"/>
          <w:b/>
        </w:rPr>
        <w:t>(</w:t>
      </w:r>
      <w:r>
        <w:rPr>
          <w:rFonts w:ascii="Verdana" w:hAnsi="Verdana" w:cs="Arial"/>
          <w:b/>
        </w:rPr>
        <w:t>GE</w:t>
      </w:r>
      <w:r w:rsidR="00BC14BF" w:rsidRPr="00AC35FA">
        <w:rPr>
          <w:rFonts w:ascii="Verdana" w:hAnsi="Verdana" w:cs="Arial"/>
          <w:b/>
        </w:rPr>
        <w:t>RCO)</w:t>
      </w:r>
    </w:p>
    <w:p w14:paraId="39C0F590" w14:textId="77777777" w:rsidR="00A91BD2" w:rsidRPr="00AC35FA" w:rsidRDefault="00A91BD2" w:rsidP="00832408">
      <w:pPr>
        <w:spacing w:after="0" w:line="240" w:lineRule="auto"/>
        <w:jc w:val="center"/>
        <w:rPr>
          <w:rFonts w:ascii="Verdana" w:hAnsi="Verdana"/>
          <w:b/>
          <w:bCs/>
          <w:lang w:val="es-419"/>
        </w:rPr>
      </w:pPr>
    </w:p>
    <w:p w14:paraId="46C53F8F" w14:textId="77777777" w:rsidR="00FA6500" w:rsidRPr="00AC35FA" w:rsidRDefault="00FA6500" w:rsidP="00832408">
      <w:pPr>
        <w:spacing w:after="0" w:line="240" w:lineRule="auto"/>
        <w:jc w:val="center"/>
        <w:rPr>
          <w:rFonts w:ascii="Verdana" w:hAnsi="Verdana"/>
          <w:b/>
          <w:bCs/>
          <w:lang w:val="es-419"/>
        </w:rPr>
      </w:pPr>
    </w:p>
    <w:p w14:paraId="3F9900A3" w14:textId="1D74F096" w:rsidR="00DA0C0E" w:rsidRPr="00AC35FA" w:rsidRDefault="00DA0C0E" w:rsidP="00832408">
      <w:pPr>
        <w:spacing w:after="0" w:line="240" w:lineRule="auto"/>
        <w:jc w:val="both"/>
        <w:rPr>
          <w:rFonts w:ascii="Verdana" w:hAnsi="Verdana"/>
        </w:rPr>
      </w:pPr>
    </w:p>
    <w:p w14:paraId="6BF9AA10" w14:textId="77777777" w:rsidR="00E826C1" w:rsidRPr="00AC35FA" w:rsidRDefault="00E826C1" w:rsidP="00832408">
      <w:pPr>
        <w:spacing w:after="0" w:line="240" w:lineRule="auto"/>
        <w:jc w:val="both"/>
        <w:rPr>
          <w:rFonts w:ascii="Verdana" w:hAnsi="Verdana"/>
        </w:rPr>
      </w:pPr>
    </w:p>
    <w:p w14:paraId="25891346" w14:textId="117DFA1A" w:rsidR="00E826C1" w:rsidRPr="00AC35FA" w:rsidRDefault="00946033" w:rsidP="00832408">
      <w:pPr>
        <w:spacing w:after="0" w:line="240" w:lineRule="auto"/>
        <w:jc w:val="both"/>
        <w:rPr>
          <w:rFonts w:ascii="Verdana" w:hAnsi="Verdana"/>
        </w:rPr>
      </w:pPr>
      <w:r w:rsidRPr="00AC35FA">
        <w:rPr>
          <w:rFonts w:ascii="Verdana" w:hAnsi="Verdana"/>
          <w:noProof/>
        </w:rPr>
        <mc:AlternateContent>
          <mc:Choice Requires="wps">
            <w:drawing>
              <wp:anchor distT="45720" distB="45720" distL="114300" distR="114300" simplePos="0" relativeHeight="251659264" behindDoc="0" locked="0" layoutInCell="1" allowOverlap="1" wp14:anchorId="0B0C485C" wp14:editId="71409828">
                <wp:simplePos x="0" y="0"/>
                <wp:positionH relativeFrom="margin">
                  <wp:posOffset>0</wp:posOffset>
                </wp:positionH>
                <wp:positionV relativeFrom="paragraph">
                  <wp:posOffset>200025</wp:posOffset>
                </wp:positionV>
                <wp:extent cx="5689600" cy="2038350"/>
                <wp:effectExtent l="0" t="0" r="25400" b="1905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9600" cy="2038350"/>
                        </a:xfrm>
                        <a:prstGeom prst="rect">
                          <a:avLst/>
                        </a:prstGeom>
                        <a:solidFill>
                          <a:srgbClr val="FFFFFF"/>
                        </a:solidFill>
                        <a:ln w="19050">
                          <a:solidFill>
                            <a:srgbClr val="000000"/>
                          </a:solidFill>
                          <a:miter lim="800000"/>
                          <a:headEnd/>
                          <a:tailEnd/>
                        </a:ln>
                      </wps:spPr>
                      <wps:txbx>
                        <w:txbxContent>
                          <w:p w14:paraId="6CF65988" w14:textId="5676E272" w:rsidR="00946033" w:rsidRDefault="00854FD6" w:rsidP="00946033">
                            <w:pPr>
                              <w:jc w:val="center"/>
                              <w:rPr>
                                <w:rFonts w:ascii="Verdana" w:hAnsi="Verdana"/>
                                <w:sz w:val="20"/>
                                <w:szCs w:val="20"/>
                              </w:rPr>
                            </w:pPr>
                            <w:r w:rsidRPr="00854FD6">
                              <w:rPr>
                                <w:rFonts w:ascii="Verdana" w:hAnsi="Verdana"/>
                                <w:sz w:val="20"/>
                                <w:szCs w:val="20"/>
                              </w:rPr>
                              <w:t xml:space="preserve">Este capítulo fue expedido mediante la Circular Externa XX de 2026 y </w:t>
                            </w:r>
                            <w:proofErr w:type="gramStart"/>
                            <w:r w:rsidRPr="00854FD6">
                              <w:rPr>
                                <w:rFonts w:ascii="Verdana" w:hAnsi="Verdana"/>
                                <w:sz w:val="20"/>
                                <w:szCs w:val="20"/>
                              </w:rPr>
                              <w:t>entra en vigencia</w:t>
                            </w:r>
                            <w:proofErr w:type="gramEnd"/>
                            <w:r w:rsidRPr="00854FD6">
                              <w:rPr>
                                <w:rFonts w:ascii="Verdana" w:hAnsi="Verdana"/>
                                <w:sz w:val="20"/>
                                <w:szCs w:val="20"/>
                              </w:rPr>
                              <w:t xml:space="preserve"> en los términos previstos en dicha circular.</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0B0C485C" id="_x0000_t202" coordsize="21600,21600" o:spt="202" path="m,l,21600r21600,l21600,xe">
                <v:stroke joinstyle="miter"/>
                <v:path gradientshapeok="t" o:connecttype="rect"/>
              </v:shapetype>
              <v:shape id="Cuadro de texto 2" o:spid="_x0000_s1026" type="#_x0000_t202" style="position:absolute;left:0;text-align:left;margin-left:0;margin-top:15.75pt;width:448pt;height:160.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" strokeweight="1.5pt">
                <v:textbox>
                  <w:txbxContent>
                    <w:p w14:paraId="6CF65988" w14:textId="5676E272" w:rsidR="00946033" w:rsidRDefault="00854FD6" w:rsidP="00946033">
                      <w:pPr>
                        <w:jc w:val="center"/>
                        <w:rPr>
                          <w:rFonts w:ascii="Verdana" w:hAnsi="Verdana"/>
                          <w:sz w:val="20"/>
                          <w:szCs w:val="20"/>
                        </w:rPr>
                      </w:pPr>
                      <w:r w:rsidRPr="00854FD6">
                        <w:rPr>
                          <w:rFonts w:ascii="Verdana" w:hAnsi="Verdana"/>
                          <w:sz w:val="20"/>
                          <w:szCs w:val="20"/>
                        </w:rPr>
                        <w:t xml:space="preserve">Este capítulo fue expedido mediante la Circular Externa XX de 2026 y </w:t>
                      </w:r>
                      <w:proofErr w:type="gramStart"/>
                      <w:r w:rsidRPr="00854FD6">
                        <w:rPr>
                          <w:rFonts w:ascii="Verdana" w:hAnsi="Verdana"/>
                          <w:sz w:val="20"/>
                          <w:szCs w:val="20"/>
                        </w:rPr>
                        <w:t>entra en vigencia</w:t>
                      </w:r>
                      <w:proofErr w:type="gramEnd"/>
                      <w:r w:rsidRPr="00854FD6">
                        <w:rPr>
                          <w:rFonts w:ascii="Verdana" w:hAnsi="Verdana"/>
                          <w:sz w:val="20"/>
                          <w:szCs w:val="20"/>
                        </w:rPr>
                        <w:t xml:space="preserve"> en los términos previstos en dicha circular.</w:t>
                      </w:r>
                    </w:p>
                  </w:txbxContent>
                </v:textbox>
                <w10:wrap type="square" anchorx="margin"/>
              </v:shape>
            </w:pict>
          </mc:Fallback>
        </mc:AlternateContent>
      </w:r>
    </w:p>
    <w:p w14:paraId="411ADB98" w14:textId="77777777" w:rsidR="00946033" w:rsidRPr="00AC35FA" w:rsidRDefault="00946033" w:rsidP="00832408">
      <w:pPr>
        <w:spacing w:after="0" w:line="240" w:lineRule="auto"/>
        <w:jc w:val="both"/>
        <w:rPr>
          <w:rFonts w:ascii="Verdana" w:hAnsi="Verdana"/>
        </w:rPr>
        <w:sectPr w:rsidR="00946033" w:rsidRPr="00AC35FA" w:rsidSect="003C558F">
          <w:headerReference w:type="default" r:id="rId11"/>
          <w:pgSz w:w="12240" w:h="20160" w:code="5"/>
          <w:pgMar w:top="1701" w:right="1701" w:bottom="1417" w:left="1701" w:header="708" w:footer="708" w:gutter="0"/>
          <w:cols w:space="708"/>
          <w:docGrid w:linePitch="360"/>
        </w:sectPr>
      </w:pPr>
    </w:p>
    <w:p w14:paraId="13299BC6" w14:textId="1BDA1CEA" w:rsidR="001C6F91" w:rsidRPr="00CC3937" w:rsidRDefault="001C6F91" w:rsidP="001C6F91">
      <w:pPr>
        <w:spacing w:after="0" w:line="240" w:lineRule="auto"/>
        <w:jc w:val="center"/>
        <w:rPr>
          <w:rFonts w:ascii="Verdana" w:hAnsi="Verdana"/>
          <w:b/>
          <w:bCs/>
        </w:rPr>
      </w:pPr>
      <w:r w:rsidRPr="00CC3937">
        <w:rPr>
          <w:rFonts w:ascii="Verdana" w:hAnsi="Verdana"/>
          <w:b/>
          <w:bCs/>
        </w:rPr>
        <w:lastRenderedPageBreak/>
        <w:t>PARTE 1</w:t>
      </w:r>
    </w:p>
    <w:p w14:paraId="3E49B573" w14:textId="77777777" w:rsidR="001C6F91" w:rsidRPr="00CC3937" w:rsidRDefault="001C6F91" w:rsidP="001C6F91">
      <w:pPr>
        <w:spacing w:after="0" w:line="240" w:lineRule="auto"/>
        <w:jc w:val="center"/>
        <w:rPr>
          <w:rFonts w:ascii="Verdana" w:hAnsi="Verdana"/>
          <w:b/>
          <w:bCs/>
        </w:rPr>
      </w:pPr>
      <w:r w:rsidRPr="00CC3937">
        <w:rPr>
          <w:rFonts w:ascii="Verdana" w:hAnsi="Verdana"/>
          <w:b/>
          <w:bCs/>
        </w:rPr>
        <w:t>ADMINISTRACIÓN DE RIESGOS</w:t>
      </w:r>
    </w:p>
    <w:p w14:paraId="2CC2D14C" w14:textId="77777777" w:rsidR="001C6F91" w:rsidRPr="00CC3937" w:rsidRDefault="001C6F91" w:rsidP="001C6F91">
      <w:pPr>
        <w:spacing w:after="0" w:line="240" w:lineRule="auto"/>
        <w:jc w:val="center"/>
        <w:rPr>
          <w:rFonts w:ascii="Verdana" w:hAnsi="Verdana"/>
          <w:b/>
          <w:bCs/>
        </w:rPr>
      </w:pPr>
    </w:p>
    <w:p w14:paraId="48E42641" w14:textId="77777777" w:rsidR="001C6F91" w:rsidRPr="00CC3937" w:rsidRDefault="001C6F91" w:rsidP="001C6F91">
      <w:pPr>
        <w:spacing w:after="0" w:line="240" w:lineRule="auto"/>
        <w:jc w:val="center"/>
        <w:rPr>
          <w:rFonts w:ascii="Verdana" w:hAnsi="Verdana"/>
          <w:b/>
          <w:bCs/>
        </w:rPr>
      </w:pPr>
      <w:r w:rsidRPr="00CC3937">
        <w:rPr>
          <w:rFonts w:ascii="Verdana" w:hAnsi="Verdana"/>
          <w:b/>
          <w:bCs/>
        </w:rPr>
        <w:t>CAPÍTULO 5</w:t>
      </w:r>
    </w:p>
    <w:p w14:paraId="739C56B0" w14:textId="4A024D75" w:rsidR="001C6F91" w:rsidRPr="00CC3937" w:rsidRDefault="007D648E" w:rsidP="001C6F91">
      <w:pPr>
        <w:spacing w:after="0" w:line="240" w:lineRule="auto"/>
        <w:jc w:val="center"/>
        <w:rPr>
          <w:rFonts w:ascii="Verdana" w:hAnsi="Verdana"/>
          <w:b/>
          <w:bCs/>
          <w:lang w:val="es-419"/>
        </w:rPr>
      </w:pPr>
      <w:r>
        <w:rPr>
          <w:rFonts w:ascii="Verdana" w:hAnsi="Verdana" w:cs="Arial"/>
          <w:b/>
        </w:rPr>
        <w:t>GESTIÓN</w:t>
      </w:r>
      <w:r w:rsidR="00BA1FD6">
        <w:rPr>
          <w:rFonts w:ascii="Verdana" w:hAnsi="Verdana" w:cs="Arial"/>
          <w:b/>
        </w:rPr>
        <w:t xml:space="preserve"> DE</w:t>
      </w:r>
      <w:r>
        <w:rPr>
          <w:rFonts w:ascii="Verdana" w:hAnsi="Verdana" w:cs="Arial"/>
          <w:b/>
        </w:rPr>
        <w:t>L</w:t>
      </w:r>
      <w:r w:rsidR="00BA1FD6">
        <w:rPr>
          <w:rFonts w:ascii="Verdana" w:hAnsi="Verdana" w:cs="Arial"/>
          <w:b/>
        </w:rPr>
        <w:t xml:space="preserve"> </w:t>
      </w:r>
      <w:r w:rsidR="00BA1FD6" w:rsidRPr="00AC35FA">
        <w:rPr>
          <w:rFonts w:ascii="Verdana" w:hAnsi="Verdana" w:cs="Arial"/>
          <w:b/>
        </w:rPr>
        <w:t>RIESGO DE CONDUCTAS</w:t>
      </w:r>
      <w:r w:rsidR="00BA1FD6" w:rsidRPr="00CC3937">
        <w:rPr>
          <w:rFonts w:ascii="Verdana" w:hAnsi="Verdana" w:cs="Arial"/>
          <w:b/>
        </w:rPr>
        <w:t xml:space="preserve"> </w:t>
      </w:r>
      <w:r w:rsidR="00E57D5C">
        <w:rPr>
          <w:rFonts w:ascii="Verdana" w:hAnsi="Verdana" w:cs="Arial"/>
          <w:b/>
        </w:rPr>
        <w:t>DE AFECTACIÓN AL CONSUMIDOR FINANCIERO</w:t>
      </w:r>
      <w:r w:rsidR="00E57D5C" w:rsidRPr="00AC35FA">
        <w:rPr>
          <w:rFonts w:ascii="Verdana" w:hAnsi="Verdana" w:cs="Arial"/>
          <w:b/>
        </w:rPr>
        <w:t xml:space="preserve"> </w:t>
      </w:r>
      <w:r w:rsidR="00BC14BF" w:rsidRPr="00CC3937">
        <w:rPr>
          <w:rFonts w:ascii="Verdana" w:hAnsi="Verdana" w:cs="Arial"/>
          <w:b/>
        </w:rPr>
        <w:t>(</w:t>
      </w:r>
      <w:r>
        <w:rPr>
          <w:rFonts w:ascii="Verdana" w:hAnsi="Verdana" w:cs="Arial"/>
          <w:b/>
        </w:rPr>
        <w:t>GE</w:t>
      </w:r>
      <w:r w:rsidR="00BC14BF" w:rsidRPr="00CC3937">
        <w:rPr>
          <w:rFonts w:ascii="Verdana" w:hAnsi="Verdana" w:cs="Arial"/>
          <w:b/>
        </w:rPr>
        <w:t>RCO)</w:t>
      </w:r>
    </w:p>
    <w:p w14:paraId="4FB69E4A" w14:textId="77777777" w:rsidR="001C6F91" w:rsidRPr="00CC3937" w:rsidRDefault="001C6F91" w:rsidP="001C6F91">
      <w:pPr>
        <w:spacing w:after="0" w:line="240" w:lineRule="auto"/>
        <w:jc w:val="center"/>
        <w:rPr>
          <w:rFonts w:ascii="Verdana" w:hAnsi="Verdana"/>
          <w:b/>
          <w:bCs/>
          <w:lang w:val="es-419"/>
        </w:rPr>
      </w:pPr>
    </w:p>
    <w:p w14:paraId="410BDB48" w14:textId="77777777" w:rsidR="00E826C1" w:rsidRPr="00CC3937" w:rsidRDefault="00E826C1" w:rsidP="00832408">
      <w:pPr>
        <w:spacing w:after="0" w:line="240" w:lineRule="auto"/>
        <w:jc w:val="both"/>
        <w:rPr>
          <w:rFonts w:ascii="Verdana" w:hAnsi="Verdana"/>
          <w:lang w:val="es-419"/>
        </w:rPr>
      </w:pPr>
    </w:p>
    <w:p w14:paraId="3AEDBD8A" w14:textId="77777777" w:rsidR="00721D02" w:rsidRPr="00CC3937" w:rsidRDefault="00721D02" w:rsidP="00832408">
      <w:pPr>
        <w:spacing w:after="0" w:line="240" w:lineRule="auto"/>
        <w:jc w:val="both"/>
        <w:rPr>
          <w:rFonts w:ascii="Verdana" w:hAnsi="Verdana"/>
        </w:rPr>
      </w:pPr>
    </w:p>
    <w:p w14:paraId="134C21B3" w14:textId="3C2953B2" w:rsidR="008D331B" w:rsidRPr="008D331B" w:rsidRDefault="008D331B" w:rsidP="008D331B">
      <w:pPr>
        <w:spacing w:line="240" w:lineRule="auto"/>
        <w:jc w:val="both"/>
        <w:rPr>
          <w:rFonts w:ascii="Verdana" w:hAnsi="Verdana"/>
          <w:b/>
          <w:bCs/>
        </w:rPr>
      </w:pPr>
      <w:r w:rsidRPr="008D331B">
        <w:rPr>
          <w:rFonts w:ascii="Verdana" w:hAnsi="Verdana"/>
          <w:b/>
          <w:bCs/>
        </w:rPr>
        <w:t>CONSIDERACIONES GENERALES</w:t>
      </w:r>
    </w:p>
    <w:p w14:paraId="28856B9E" w14:textId="614F622C" w:rsidR="00832408" w:rsidRPr="00CC3937" w:rsidRDefault="00FA6500" w:rsidP="00832408">
      <w:pPr>
        <w:spacing w:after="0" w:line="240" w:lineRule="auto"/>
        <w:jc w:val="both"/>
        <w:rPr>
          <w:rFonts w:ascii="Verdana" w:hAnsi="Verdana"/>
        </w:rPr>
      </w:pPr>
      <w:r>
        <w:rPr>
          <w:rFonts w:ascii="Verdana" w:hAnsi="Verdana"/>
        </w:rPr>
        <w:t>1.5.1.</w:t>
      </w:r>
    </w:p>
    <w:p w14:paraId="7D314F4D" w14:textId="63F6A984" w:rsidR="00010F88" w:rsidRDefault="00676325" w:rsidP="00676325">
      <w:pPr>
        <w:spacing w:after="0" w:line="240" w:lineRule="auto"/>
        <w:jc w:val="both"/>
        <w:rPr>
          <w:rFonts w:ascii="Verdana" w:hAnsi="Verdana" w:cs="Arial"/>
        </w:rPr>
      </w:pPr>
      <w:r w:rsidRPr="00676325">
        <w:rPr>
          <w:rFonts w:ascii="Verdana" w:hAnsi="Verdana" w:cs="Arial"/>
        </w:rPr>
        <w:t>La</w:t>
      </w:r>
      <w:r w:rsidR="0026292C">
        <w:rPr>
          <w:rFonts w:ascii="Verdana" w:hAnsi="Verdana" w:cs="Arial"/>
        </w:rPr>
        <w:t>s instrucciones sobre la</w:t>
      </w:r>
      <w:r w:rsidRPr="00676325">
        <w:rPr>
          <w:rFonts w:ascii="Verdana" w:hAnsi="Verdana" w:cs="Arial"/>
        </w:rPr>
        <w:t xml:space="preserve"> </w:t>
      </w:r>
      <w:r w:rsidR="00B84577">
        <w:rPr>
          <w:rFonts w:ascii="Verdana" w:hAnsi="Verdana" w:cs="Arial"/>
        </w:rPr>
        <w:t>g</w:t>
      </w:r>
      <w:r w:rsidRPr="00676325">
        <w:rPr>
          <w:rFonts w:ascii="Verdana" w:hAnsi="Verdana" w:cs="Arial"/>
        </w:rPr>
        <w:t xml:space="preserve">estión del </w:t>
      </w:r>
      <w:r w:rsidR="00B84577">
        <w:rPr>
          <w:rFonts w:ascii="Verdana" w:hAnsi="Verdana" w:cs="Arial"/>
        </w:rPr>
        <w:t>r</w:t>
      </w:r>
      <w:r w:rsidRPr="00676325">
        <w:rPr>
          <w:rFonts w:ascii="Verdana" w:hAnsi="Verdana" w:cs="Arial"/>
        </w:rPr>
        <w:t xml:space="preserve">iesgo de </w:t>
      </w:r>
      <w:r w:rsidR="00B84577">
        <w:rPr>
          <w:rFonts w:ascii="Verdana" w:hAnsi="Verdana" w:cs="Arial"/>
        </w:rPr>
        <w:t>c</w:t>
      </w:r>
      <w:r w:rsidRPr="00676325">
        <w:rPr>
          <w:rFonts w:ascii="Verdana" w:hAnsi="Verdana" w:cs="Arial"/>
        </w:rPr>
        <w:t>onductas</w:t>
      </w:r>
      <w:r w:rsidR="00AF072F">
        <w:rPr>
          <w:rFonts w:ascii="Verdana" w:hAnsi="Verdana" w:cs="Arial"/>
        </w:rPr>
        <w:t xml:space="preserve"> de </w:t>
      </w:r>
      <w:r w:rsidR="00B84577">
        <w:rPr>
          <w:rFonts w:ascii="Verdana" w:hAnsi="Verdana" w:cs="Arial"/>
        </w:rPr>
        <w:t>a</w:t>
      </w:r>
      <w:r w:rsidR="00AF072F">
        <w:rPr>
          <w:rFonts w:ascii="Verdana" w:hAnsi="Verdana" w:cs="Arial"/>
        </w:rPr>
        <w:t xml:space="preserve">fectación al </w:t>
      </w:r>
      <w:r w:rsidR="00B84577">
        <w:rPr>
          <w:rFonts w:ascii="Verdana" w:hAnsi="Verdana" w:cs="Arial"/>
        </w:rPr>
        <w:t>c</w:t>
      </w:r>
      <w:r w:rsidR="00AF072F">
        <w:rPr>
          <w:rFonts w:ascii="Verdana" w:hAnsi="Verdana" w:cs="Arial"/>
        </w:rPr>
        <w:t xml:space="preserve">onsumidor </w:t>
      </w:r>
      <w:r w:rsidR="00B84577">
        <w:rPr>
          <w:rFonts w:ascii="Verdana" w:hAnsi="Verdana" w:cs="Arial"/>
        </w:rPr>
        <w:t>f</w:t>
      </w:r>
      <w:r w:rsidR="00AF072F">
        <w:rPr>
          <w:rFonts w:ascii="Verdana" w:hAnsi="Verdana" w:cs="Arial"/>
        </w:rPr>
        <w:t>inanciero</w:t>
      </w:r>
      <w:r w:rsidRPr="00676325">
        <w:rPr>
          <w:rFonts w:ascii="Verdana" w:hAnsi="Verdana" w:cs="Arial"/>
        </w:rPr>
        <w:t xml:space="preserve"> (GERCO) tiene</w:t>
      </w:r>
      <w:r w:rsidR="002E1504">
        <w:rPr>
          <w:rFonts w:ascii="Verdana" w:hAnsi="Verdana" w:cs="Arial"/>
        </w:rPr>
        <w:t>n</w:t>
      </w:r>
      <w:r w:rsidRPr="00676325">
        <w:rPr>
          <w:rFonts w:ascii="Verdana" w:hAnsi="Verdana" w:cs="Arial"/>
        </w:rPr>
        <w:t xml:space="preserve"> como finalidad establecer lineamientos para que las entidades destinatarias identifiquen, evalúen, controlen, monitoreen y documenten las conductas que puedan generar afectaciones a los consumidores financieros o comprometer la transparencia e integridad de los </w:t>
      </w:r>
      <w:r w:rsidR="006D1FCA">
        <w:rPr>
          <w:rFonts w:ascii="Verdana" w:hAnsi="Verdana" w:cs="Arial"/>
        </w:rPr>
        <w:t>servicios profesionales ofrecidos en el mercado</w:t>
      </w:r>
      <w:r w:rsidRPr="00676325">
        <w:rPr>
          <w:rFonts w:ascii="Verdana" w:hAnsi="Verdana" w:cs="Arial"/>
        </w:rPr>
        <w:t>.</w:t>
      </w:r>
      <w:r>
        <w:rPr>
          <w:rFonts w:ascii="Verdana" w:hAnsi="Verdana" w:cs="Arial"/>
        </w:rPr>
        <w:t xml:space="preserve"> </w:t>
      </w:r>
    </w:p>
    <w:p w14:paraId="522EB342" w14:textId="77777777" w:rsidR="00010F88" w:rsidRDefault="00010F88" w:rsidP="00676325">
      <w:pPr>
        <w:spacing w:after="0" w:line="240" w:lineRule="auto"/>
        <w:jc w:val="both"/>
        <w:rPr>
          <w:rFonts w:ascii="Verdana" w:hAnsi="Verdana" w:cs="Arial"/>
        </w:rPr>
      </w:pPr>
    </w:p>
    <w:p w14:paraId="49893360" w14:textId="281AC6E7" w:rsidR="009A56A2" w:rsidRPr="00A46363" w:rsidRDefault="007659F2" w:rsidP="00676325">
      <w:pPr>
        <w:spacing w:after="0" w:line="240" w:lineRule="auto"/>
        <w:jc w:val="both"/>
        <w:rPr>
          <w:rFonts w:ascii="Verdana" w:hAnsi="Verdana" w:cs="Arial"/>
          <w:b/>
          <w:bCs/>
        </w:rPr>
      </w:pPr>
      <w:r w:rsidRPr="007659F2">
        <w:rPr>
          <w:rFonts w:ascii="Verdana" w:hAnsi="Verdana" w:cs="Arial"/>
          <w:b/>
          <w:bCs/>
        </w:rPr>
        <w:t>Principio</w:t>
      </w:r>
      <w:r w:rsidR="009A56A2" w:rsidRPr="00A46363">
        <w:rPr>
          <w:rFonts w:ascii="Verdana" w:hAnsi="Verdana" w:cs="Arial"/>
          <w:b/>
          <w:bCs/>
        </w:rPr>
        <w:t xml:space="preserve"> de pro</w:t>
      </w:r>
      <w:r w:rsidRPr="00A46363">
        <w:rPr>
          <w:rFonts w:ascii="Verdana" w:hAnsi="Verdana" w:cs="Arial"/>
          <w:b/>
          <w:bCs/>
        </w:rPr>
        <w:t>porcionalidad</w:t>
      </w:r>
    </w:p>
    <w:p w14:paraId="5AC19935" w14:textId="77777777" w:rsidR="009A56A2" w:rsidRDefault="009A56A2" w:rsidP="00676325">
      <w:pPr>
        <w:spacing w:after="0" w:line="240" w:lineRule="auto"/>
        <w:jc w:val="both"/>
        <w:rPr>
          <w:rFonts w:ascii="Verdana" w:hAnsi="Verdana" w:cs="Arial"/>
        </w:rPr>
      </w:pPr>
    </w:p>
    <w:p w14:paraId="4A41E611" w14:textId="26BDCF2C" w:rsidR="00010F88" w:rsidRDefault="00010F88" w:rsidP="00676325">
      <w:pPr>
        <w:spacing w:after="0" w:line="240" w:lineRule="auto"/>
        <w:jc w:val="both"/>
        <w:rPr>
          <w:rFonts w:ascii="Verdana" w:hAnsi="Verdana" w:cs="Arial"/>
        </w:rPr>
      </w:pPr>
      <w:r>
        <w:rPr>
          <w:rFonts w:ascii="Verdana" w:hAnsi="Verdana" w:cs="Arial"/>
        </w:rPr>
        <w:t xml:space="preserve">1.5.2. </w:t>
      </w:r>
    </w:p>
    <w:p w14:paraId="2FA0A95B" w14:textId="3A622172" w:rsidR="00C84426" w:rsidRDefault="00010F88" w:rsidP="00676325">
      <w:pPr>
        <w:spacing w:after="0" w:line="240" w:lineRule="auto"/>
        <w:jc w:val="both"/>
        <w:rPr>
          <w:rFonts w:ascii="Verdana" w:hAnsi="Verdana" w:cs="Arial"/>
        </w:rPr>
      </w:pPr>
      <w:r>
        <w:rPr>
          <w:rFonts w:ascii="Verdana" w:hAnsi="Verdana" w:cs="Arial"/>
        </w:rPr>
        <w:t xml:space="preserve">La </w:t>
      </w:r>
      <w:r w:rsidR="00B84577">
        <w:rPr>
          <w:rFonts w:ascii="Verdana" w:hAnsi="Verdana" w:cs="Arial"/>
        </w:rPr>
        <w:t>g</w:t>
      </w:r>
      <w:r w:rsidR="00B84577" w:rsidRPr="00676325">
        <w:rPr>
          <w:rFonts w:ascii="Verdana" w:hAnsi="Verdana" w:cs="Arial"/>
        </w:rPr>
        <w:t xml:space="preserve">estión del </w:t>
      </w:r>
      <w:r w:rsidR="00B84577">
        <w:rPr>
          <w:rFonts w:ascii="Verdana" w:hAnsi="Verdana" w:cs="Arial"/>
        </w:rPr>
        <w:t>r</w:t>
      </w:r>
      <w:r w:rsidR="00B84577" w:rsidRPr="00676325">
        <w:rPr>
          <w:rFonts w:ascii="Verdana" w:hAnsi="Verdana" w:cs="Arial"/>
        </w:rPr>
        <w:t xml:space="preserve">iesgo de </w:t>
      </w:r>
      <w:r w:rsidR="00B84577">
        <w:rPr>
          <w:rFonts w:ascii="Verdana" w:hAnsi="Verdana" w:cs="Arial"/>
        </w:rPr>
        <w:t>c</w:t>
      </w:r>
      <w:r w:rsidR="00B84577" w:rsidRPr="00676325">
        <w:rPr>
          <w:rFonts w:ascii="Verdana" w:hAnsi="Verdana" w:cs="Arial"/>
        </w:rPr>
        <w:t>onductas</w:t>
      </w:r>
      <w:r w:rsidR="00B84577">
        <w:rPr>
          <w:rFonts w:ascii="Verdana" w:hAnsi="Verdana" w:cs="Arial"/>
        </w:rPr>
        <w:t xml:space="preserve"> de afectación al consumidor financiero</w:t>
      </w:r>
      <w:r w:rsidR="00B84577" w:rsidRPr="00676325">
        <w:rPr>
          <w:rFonts w:ascii="Verdana" w:hAnsi="Verdana" w:cs="Arial"/>
        </w:rPr>
        <w:t xml:space="preserve"> </w:t>
      </w:r>
      <w:r w:rsidRPr="00676325">
        <w:rPr>
          <w:rFonts w:ascii="Verdana" w:hAnsi="Verdana" w:cs="Arial"/>
        </w:rPr>
        <w:t>(GERCO)</w:t>
      </w:r>
      <w:r w:rsidR="00676325" w:rsidRPr="00676325">
        <w:rPr>
          <w:rFonts w:ascii="Verdana" w:hAnsi="Verdana" w:cs="Arial"/>
        </w:rPr>
        <w:t xml:space="preserve"> debe atender </w:t>
      </w:r>
      <w:r w:rsidR="009715E9">
        <w:rPr>
          <w:rFonts w:ascii="Verdana" w:hAnsi="Verdana" w:cs="Arial"/>
        </w:rPr>
        <w:t xml:space="preserve">a </w:t>
      </w:r>
      <w:r w:rsidR="00676325" w:rsidRPr="00676325">
        <w:rPr>
          <w:rFonts w:ascii="Verdana" w:hAnsi="Verdana" w:cs="Arial"/>
        </w:rPr>
        <w:t xml:space="preserve">la naturaleza, </w:t>
      </w:r>
      <w:r w:rsidR="009715E9">
        <w:rPr>
          <w:rFonts w:ascii="Verdana" w:hAnsi="Verdana" w:cs="Arial"/>
        </w:rPr>
        <w:t xml:space="preserve">el </w:t>
      </w:r>
      <w:r w:rsidR="00676325" w:rsidRPr="00676325">
        <w:rPr>
          <w:rFonts w:ascii="Verdana" w:hAnsi="Verdana" w:cs="Arial"/>
        </w:rPr>
        <w:t xml:space="preserve">tamaño, </w:t>
      </w:r>
      <w:r w:rsidR="009715E9">
        <w:rPr>
          <w:rFonts w:ascii="Verdana" w:hAnsi="Verdana" w:cs="Arial"/>
        </w:rPr>
        <w:t xml:space="preserve">la </w:t>
      </w:r>
      <w:r w:rsidR="00676325" w:rsidRPr="00676325">
        <w:rPr>
          <w:rFonts w:ascii="Verdana" w:hAnsi="Verdana" w:cs="Arial"/>
        </w:rPr>
        <w:t xml:space="preserve">complejidad, </w:t>
      </w:r>
      <w:r w:rsidR="009715E9">
        <w:rPr>
          <w:rFonts w:ascii="Verdana" w:hAnsi="Verdana" w:cs="Arial"/>
        </w:rPr>
        <w:t xml:space="preserve">el </w:t>
      </w:r>
      <w:r w:rsidR="00676325" w:rsidRPr="00676325">
        <w:rPr>
          <w:rFonts w:ascii="Verdana" w:hAnsi="Verdana" w:cs="Arial"/>
        </w:rPr>
        <w:t xml:space="preserve">modelo de negocio, </w:t>
      </w:r>
      <w:r w:rsidR="009A56A2">
        <w:rPr>
          <w:rFonts w:ascii="Verdana" w:hAnsi="Verdana" w:cs="Arial"/>
        </w:rPr>
        <w:t xml:space="preserve">los </w:t>
      </w:r>
      <w:r w:rsidR="00676325" w:rsidRPr="00676325">
        <w:rPr>
          <w:rFonts w:ascii="Verdana" w:hAnsi="Verdana" w:cs="Arial"/>
        </w:rPr>
        <w:t xml:space="preserve">productos, servicios, canales y </w:t>
      </w:r>
      <w:r w:rsidR="009A56A2">
        <w:rPr>
          <w:rFonts w:ascii="Verdana" w:hAnsi="Verdana" w:cs="Arial"/>
        </w:rPr>
        <w:t xml:space="preserve">el </w:t>
      </w:r>
      <w:r w:rsidR="00676325" w:rsidRPr="00676325">
        <w:rPr>
          <w:rFonts w:ascii="Verdana" w:hAnsi="Verdana" w:cs="Arial"/>
        </w:rPr>
        <w:t>perfil de riesgo de cada entidad, bajo un criterio de proporcionalidad. Asimismo, debe articularse con el sistema de control interno y con los demás sistemas, procesos o programas internos que resulten pertinentes, con el fin de evitar duplicidades, vacíos de cobertura o cargas operativas innecesarias.</w:t>
      </w:r>
      <w:r w:rsidR="00676325">
        <w:rPr>
          <w:rFonts w:ascii="Verdana" w:hAnsi="Verdana" w:cs="Arial"/>
        </w:rPr>
        <w:t xml:space="preserve"> </w:t>
      </w:r>
    </w:p>
    <w:p w14:paraId="7852CD5A" w14:textId="77777777" w:rsidR="00C84426" w:rsidRDefault="00C84426" w:rsidP="00676325">
      <w:pPr>
        <w:spacing w:after="0" w:line="240" w:lineRule="auto"/>
        <w:jc w:val="both"/>
        <w:rPr>
          <w:rFonts w:ascii="Verdana" w:hAnsi="Verdana" w:cs="Arial"/>
        </w:rPr>
      </w:pPr>
    </w:p>
    <w:p w14:paraId="41B52F3A" w14:textId="4DD3FBA2" w:rsidR="00371397" w:rsidRPr="00A46363" w:rsidRDefault="00371397" w:rsidP="00676325">
      <w:pPr>
        <w:spacing w:after="0" w:line="240" w:lineRule="auto"/>
        <w:jc w:val="both"/>
        <w:rPr>
          <w:rFonts w:ascii="Verdana" w:hAnsi="Verdana" w:cs="Arial"/>
          <w:b/>
          <w:bCs/>
        </w:rPr>
      </w:pPr>
      <w:r w:rsidRPr="00A46363">
        <w:rPr>
          <w:rFonts w:ascii="Verdana" w:hAnsi="Verdana" w:cs="Arial"/>
          <w:b/>
          <w:bCs/>
        </w:rPr>
        <w:t>Alcance de</w:t>
      </w:r>
      <w:r w:rsidR="004856FA" w:rsidRPr="00A46363">
        <w:rPr>
          <w:rFonts w:ascii="Verdana" w:hAnsi="Verdana" w:cs="Arial"/>
          <w:b/>
          <w:bCs/>
        </w:rPr>
        <w:t xml:space="preserve"> la GERCO</w:t>
      </w:r>
    </w:p>
    <w:p w14:paraId="42F714CB" w14:textId="77777777" w:rsidR="004856FA" w:rsidRDefault="004856FA" w:rsidP="00676325">
      <w:pPr>
        <w:spacing w:after="0" w:line="240" w:lineRule="auto"/>
        <w:jc w:val="both"/>
        <w:rPr>
          <w:rFonts w:ascii="Verdana" w:hAnsi="Verdana" w:cs="Arial"/>
        </w:rPr>
      </w:pPr>
    </w:p>
    <w:p w14:paraId="6C8EE37B" w14:textId="4F0C7786" w:rsidR="00C84426" w:rsidRDefault="00C84426" w:rsidP="00676325">
      <w:pPr>
        <w:spacing w:after="0" w:line="240" w:lineRule="auto"/>
        <w:jc w:val="both"/>
        <w:rPr>
          <w:rFonts w:ascii="Verdana" w:hAnsi="Verdana" w:cs="Arial"/>
        </w:rPr>
      </w:pPr>
      <w:r>
        <w:rPr>
          <w:rFonts w:ascii="Verdana" w:hAnsi="Verdana" w:cs="Arial"/>
        </w:rPr>
        <w:t>1.5.3.</w:t>
      </w:r>
    </w:p>
    <w:p w14:paraId="6B59DD7A" w14:textId="1537CE38" w:rsidR="00772D41" w:rsidRDefault="005E7D2C" w:rsidP="00676325">
      <w:pPr>
        <w:spacing w:after="0" w:line="240" w:lineRule="auto"/>
        <w:jc w:val="both"/>
        <w:rPr>
          <w:rFonts w:ascii="Verdana" w:hAnsi="Verdana" w:cs="Arial"/>
        </w:rPr>
      </w:pPr>
      <w:r>
        <w:rPr>
          <w:rFonts w:ascii="Verdana" w:hAnsi="Verdana" w:cs="Arial"/>
        </w:rPr>
        <w:t xml:space="preserve">La </w:t>
      </w:r>
      <w:r w:rsidR="00B84577">
        <w:rPr>
          <w:rFonts w:ascii="Verdana" w:hAnsi="Verdana" w:cs="Arial"/>
        </w:rPr>
        <w:t>g</w:t>
      </w:r>
      <w:r w:rsidR="00B84577" w:rsidRPr="00676325">
        <w:rPr>
          <w:rFonts w:ascii="Verdana" w:hAnsi="Verdana" w:cs="Arial"/>
        </w:rPr>
        <w:t xml:space="preserve">estión del </w:t>
      </w:r>
      <w:r w:rsidR="00B84577">
        <w:rPr>
          <w:rFonts w:ascii="Verdana" w:hAnsi="Verdana" w:cs="Arial"/>
        </w:rPr>
        <w:t>r</w:t>
      </w:r>
      <w:r w:rsidR="00B84577" w:rsidRPr="00676325">
        <w:rPr>
          <w:rFonts w:ascii="Verdana" w:hAnsi="Verdana" w:cs="Arial"/>
        </w:rPr>
        <w:t xml:space="preserve">iesgo de </w:t>
      </w:r>
      <w:r w:rsidR="00B84577">
        <w:rPr>
          <w:rFonts w:ascii="Verdana" w:hAnsi="Verdana" w:cs="Arial"/>
        </w:rPr>
        <w:t>c</w:t>
      </w:r>
      <w:r w:rsidR="00B84577" w:rsidRPr="00676325">
        <w:rPr>
          <w:rFonts w:ascii="Verdana" w:hAnsi="Verdana" w:cs="Arial"/>
        </w:rPr>
        <w:t>onductas</w:t>
      </w:r>
      <w:r w:rsidR="00B84577">
        <w:rPr>
          <w:rFonts w:ascii="Verdana" w:hAnsi="Verdana" w:cs="Arial"/>
        </w:rPr>
        <w:t xml:space="preserve"> de afectación al consumidor financiero</w:t>
      </w:r>
      <w:r w:rsidR="00B84577" w:rsidRPr="00676325">
        <w:rPr>
          <w:rFonts w:ascii="Verdana" w:hAnsi="Verdana" w:cs="Arial"/>
        </w:rPr>
        <w:t xml:space="preserve"> </w:t>
      </w:r>
      <w:r w:rsidRPr="00676325">
        <w:rPr>
          <w:rFonts w:ascii="Verdana" w:hAnsi="Verdana" w:cs="Arial"/>
        </w:rPr>
        <w:t xml:space="preserve">(GERCO) </w:t>
      </w:r>
      <w:r w:rsidR="00494C28" w:rsidRPr="00494C28">
        <w:rPr>
          <w:rFonts w:ascii="Verdana" w:hAnsi="Verdana" w:cs="Arial"/>
        </w:rPr>
        <w:t>tiene un enfoque preventivo y transversal, y comprende, entre otros factores, el diseño de productos y servicios, el relacionamiento con el consumidor financiero, las ventas y mercadeo, la etapa postventa, los esquemas de incentivos, la gestión de terceros, el uso de canales digitales, las actuaciones y prácticas que puedan afectar la transparencia e integridad de los mercados y la observancia de la regulación aplicable.</w:t>
      </w:r>
    </w:p>
    <w:p w14:paraId="3A49A3D1" w14:textId="77777777" w:rsidR="008D331B" w:rsidRDefault="008D331B" w:rsidP="00A46363">
      <w:pPr>
        <w:spacing w:after="0" w:line="240" w:lineRule="auto"/>
        <w:jc w:val="both"/>
        <w:rPr>
          <w:rFonts w:ascii="Verdana" w:hAnsi="Verdana"/>
        </w:rPr>
      </w:pPr>
    </w:p>
    <w:p w14:paraId="6B2F1D78" w14:textId="13AFDC63" w:rsidR="008D331B" w:rsidRPr="008D331B" w:rsidRDefault="00772D41" w:rsidP="008D331B">
      <w:pPr>
        <w:spacing w:line="240" w:lineRule="auto"/>
        <w:jc w:val="both"/>
        <w:rPr>
          <w:rFonts w:ascii="Verdana" w:hAnsi="Verdana"/>
        </w:rPr>
      </w:pPr>
      <w:r>
        <w:rPr>
          <w:rFonts w:ascii="Verdana" w:hAnsi="Verdana"/>
          <w:b/>
          <w:bCs/>
        </w:rPr>
        <w:t>A</w:t>
      </w:r>
      <w:r w:rsidRPr="008D331B">
        <w:rPr>
          <w:rFonts w:ascii="Verdana" w:hAnsi="Verdana"/>
          <w:b/>
          <w:bCs/>
        </w:rPr>
        <w:t>utonomía y articulación</w:t>
      </w:r>
    </w:p>
    <w:p w14:paraId="12449CF4" w14:textId="2507ED62" w:rsidR="00772D41" w:rsidRDefault="00772D41" w:rsidP="000D380A">
      <w:pPr>
        <w:spacing w:after="0" w:line="240" w:lineRule="auto"/>
        <w:jc w:val="both"/>
        <w:rPr>
          <w:rFonts w:ascii="Verdana" w:hAnsi="Verdana" w:cs="Arial"/>
        </w:rPr>
      </w:pPr>
      <w:r>
        <w:rPr>
          <w:rFonts w:ascii="Verdana" w:hAnsi="Verdana" w:cs="Arial"/>
        </w:rPr>
        <w:t>1.5.4.</w:t>
      </w:r>
    </w:p>
    <w:p w14:paraId="3B0498B9" w14:textId="2FEACCAD" w:rsidR="006B0383" w:rsidRPr="000D380A" w:rsidRDefault="000D380A" w:rsidP="000D380A">
      <w:pPr>
        <w:spacing w:after="0" w:line="240" w:lineRule="auto"/>
        <w:jc w:val="both"/>
        <w:rPr>
          <w:rFonts w:ascii="Verdana" w:hAnsi="Verdana" w:cs="Arial"/>
        </w:rPr>
      </w:pPr>
      <w:r w:rsidRPr="000D380A">
        <w:rPr>
          <w:rFonts w:ascii="Verdana" w:hAnsi="Verdana" w:cs="Arial"/>
        </w:rPr>
        <w:t>Las entidades destinatarias deben establecer políticas y definir responsabilidades para la gestión del riesgo de conductas, de conformidad con su estructura de gobierno corporativo y atendiendo el principio de proporcionalidad previsto en este capítulo. La gestión del riesgo de conductas se desarrolla de manera autónoma respecto de los sistemas de administración de riesgos previstos en otras disposiciones de la Superintendencia Financiera de Colombia, sin perjuicio de su articulación con dichos sistemas, procesos o programas internos cuando resulte pertinente.</w:t>
      </w:r>
    </w:p>
    <w:p w14:paraId="281C7AC3" w14:textId="77777777" w:rsidR="000D380A" w:rsidRDefault="000D380A" w:rsidP="00A46363">
      <w:pPr>
        <w:spacing w:after="0" w:line="240" w:lineRule="auto"/>
        <w:jc w:val="both"/>
        <w:rPr>
          <w:rFonts w:ascii="Verdana" w:hAnsi="Verdana"/>
          <w:b/>
          <w:bCs/>
        </w:rPr>
      </w:pPr>
    </w:p>
    <w:p w14:paraId="15C1CA6A" w14:textId="0D5AB3E2" w:rsidR="00832408" w:rsidRPr="00CC3937" w:rsidRDefault="007A6A0A" w:rsidP="00A46363">
      <w:pPr>
        <w:spacing w:line="240" w:lineRule="auto"/>
        <w:jc w:val="both"/>
        <w:rPr>
          <w:rFonts w:ascii="Verdana" w:hAnsi="Verdana"/>
        </w:rPr>
      </w:pPr>
      <w:r>
        <w:rPr>
          <w:rFonts w:ascii="Verdana" w:hAnsi="Verdana"/>
          <w:b/>
          <w:bCs/>
        </w:rPr>
        <w:t>D</w:t>
      </w:r>
      <w:r w:rsidRPr="00732F49">
        <w:rPr>
          <w:rFonts w:ascii="Verdana" w:hAnsi="Verdana"/>
          <w:b/>
          <w:bCs/>
        </w:rPr>
        <w:t xml:space="preserve">efinición </w:t>
      </w:r>
      <w:r w:rsidRPr="00732F49">
        <w:rPr>
          <w:rFonts w:ascii="Verdana" w:hAnsi="Verdana" w:cs="Arial"/>
          <w:b/>
          <w:bCs/>
          <w:lang w:val="es-ES"/>
        </w:rPr>
        <w:t xml:space="preserve">del </w:t>
      </w:r>
      <w:r>
        <w:rPr>
          <w:rFonts w:ascii="Verdana" w:hAnsi="Verdana" w:cs="Arial"/>
          <w:b/>
          <w:bCs/>
          <w:lang w:val="es-ES"/>
        </w:rPr>
        <w:t>R</w:t>
      </w:r>
      <w:r w:rsidRPr="00732F49">
        <w:rPr>
          <w:rFonts w:ascii="Verdana" w:hAnsi="Verdana" w:cs="Arial"/>
          <w:b/>
          <w:bCs/>
          <w:lang w:val="es-ES"/>
        </w:rPr>
        <w:t xml:space="preserve">iesgo de </w:t>
      </w:r>
      <w:r>
        <w:rPr>
          <w:rFonts w:ascii="Verdana" w:hAnsi="Verdana" w:cs="Arial"/>
          <w:b/>
          <w:bCs/>
          <w:lang w:val="es-ES"/>
        </w:rPr>
        <w:t>C</w:t>
      </w:r>
      <w:r w:rsidRPr="00732F49">
        <w:rPr>
          <w:rFonts w:ascii="Verdana" w:hAnsi="Verdana" w:cs="Arial"/>
          <w:b/>
          <w:bCs/>
          <w:lang w:val="es-ES"/>
        </w:rPr>
        <w:t xml:space="preserve">onductas </w:t>
      </w:r>
      <w:r>
        <w:rPr>
          <w:rFonts w:ascii="Verdana" w:hAnsi="Verdana" w:cs="Arial"/>
          <w:b/>
        </w:rPr>
        <w:t>de Afectación al Consumidor Financiero</w:t>
      </w:r>
    </w:p>
    <w:p w14:paraId="3457B98E" w14:textId="5C10CB40" w:rsidR="007A6A0A" w:rsidRDefault="007A6A0A" w:rsidP="001F0925">
      <w:pPr>
        <w:spacing w:after="0" w:line="240" w:lineRule="auto"/>
        <w:jc w:val="both"/>
        <w:rPr>
          <w:rFonts w:ascii="Verdana" w:hAnsi="Verdana" w:cs="Arial"/>
        </w:rPr>
      </w:pPr>
      <w:r>
        <w:rPr>
          <w:rFonts w:ascii="Verdana" w:hAnsi="Verdana" w:cs="Arial"/>
        </w:rPr>
        <w:t>1.5.5.</w:t>
      </w:r>
    </w:p>
    <w:p w14:paraId="458685C1" w14:textId="18DF6C39" w:rsidR="001F0925" w:rsidRPr="001F0925" w:rsidRDefault="001F0925" w:rsidP="001F0925">
      <w:pPr>
        <w:spacing w:after="0" w:line="240" w:lineRule="auto"/>
        <w:jc w:val="both"/>
        <w:rPr>
          <w:rFonts w:ascii="Verdana" w:hAnsi="Verdana" w:cs="Arial"/>
        </w:rPr>
      </w:pPr>
      <w:r w:rsidRPr="001F0925">
        <w:rPr>
          <w:rFonts w:ascii="Verdana" w:hAnsi="Verdana" w:cs="Arial"/>
        </w:rPr>
        <w:t xml:space="preserve">El </w:t>
      </w:r>
      <w:r w:rsidR="00B84577">
        <w:rPr>
          <w:rFonts w:ascii="Verdana" w:hAnsi="Verdana" w:cs="Arial"/>
        </w:rPr>
        <w:t>r</w:t>
      </w:r>
      <w:r w:rsidR="00B84577" w:rsidRPr="00676325">
        <w:rPr>
          <w:rFonts w:ascii="Verdana" w:hAnsi="Verdana" w:cs="Arial"/>
        </w:rPr>
        <w:t xml:space="preserve">iesgo de </w:t>
      </w:r>
      <w:r w:rsidR="00B84577">
        <w:rPr>
          <w:rFonts w:ascii="Verdana" w:hAnsi="Verdana" w:cs="Arial"/>
        </w:rPr>
        <w:t>c</w:t>
      </w:r>
      <w:r w:rsidR="00B84577" w:rsidRPr="00676325">
        <w:rPr>
          <w:rFonts w:ascii="Verdana" w:hAnsi="Verdana" w:cs="Arial"/>
        </w:rPr>
        <w:t>onductas</w:t>
      </w:r>
      <w:r w:rsidR="00B84577">
        <w:rPr>
          <w:rFonts w:ascii="Verdana" w:hAnsi="Verdana" w:cs="Arial"/>
        </w:rPr>
        <w:t xml:space="preserve"> de afectación al consumidor financiero</w:t>
      </w:r>
      <w:r w:rsidR="00B84577" w:rsidRPr="00676325">
        <w:rPr>
          <w:rFonts w:ascii="Verdana" w:hAnsi="Verdana" w:cs="Arial"/>
        </w:rPr>
        <w:t xml:space="preserve"> </w:t>
      </w:r>
      <w:r w:rsidRPr="001F0925">
        <w:rPr>
          <w:rFonts w:ascii="Verdana" w:hAnsi="Verdana" w:cs="Arial"/>
        </w:rPr>
        <w:t xml:space="preserve">es la posibilidad de que las acciones, decisiones, omisiones o prácticas de una </w:t>
      </w:r>
      <w:r w:rsidR="00466D94">
        <w:rPr>
          <w:rFonts w:ascii="Verdana" w:hAnsi="Verdana" w:cs="Arial"/>
        </w:rPr>
        <w:t>e</w:t>
      </w:r>
      <w:r w:rsidRPr="001F0925">
        <w:rPr>
          <w:rFonts w:ascii="Verdana" w:hAnsi="Verdana" w:cs="Arial"/>
        </w:rPr>
        <w:t xml:space="preserve">ntidad </w:t>
      </w:r>
      <w:r w:rsidR="00466D94">
        <w:rPr>
          <w:rFonts w:ascii="Verdana" w:hAnsi="Verdana" w:cs="Arial"/>
        </w:rPr>
        <w:t>v</w:t>
      </w:r>
      <w:r w:rsidRPr="001F0925">
        <w:rPr>
          <w:rFonts w:ascii="Verdana" w:hAnsi="Verdana" w:cs="Arial"/>
        </w:rPr>
        <w:t>igilada, directamente o a través de sus administradores, funcionarios o terceros que actúen en su nombre, causen daño a los consumidores financieros o afecten la integridad y transparencia de los mercados.</w:t>
      </w:r>
      <w:r w:rsidR="005B5220">
        <w:rPr>
          <w:rFonts w:ascii="Verdana" w:hAnsi="Verdana" w:cs="Arial"/>
        </w:rPr>
        <w:t xml:space="preserve"> </w:t>
      </w:r>
      <w:r w:rsidRPr="001F0925">
        <w:rPr>
          <w:rFonts w:ascii="Verdana" w:hAnsi="Verdana" w:cs="Arial"/>
        </w:rPr>
        <w:t xml:space="preserve">Este riesgo puede materializarse con independencia de que la conducta sea intencional o no, y comprende, entre otras, prácticas asociadas al incumplimiento de obligaciones, la inadecuada </w:t>
      </w:r>
      <w:r w:rsidRPr="001F0925">
        <w:rPr>
          <w:rFonts w:ascii="Verdana" w:hAnsi="Verdana" w:cs="Arial"/>
        </w:rPr>
        <w:lastRenderedPageBreak/>
        <w:t xml:space="preserve">gestión de conflictos de interés, el suministro de información engañosa, las prácticas de venta no transparentes, el uso indebido de información o datos de los consumidores financieros, o cualquier actuación que vulnere los principios de trato justo, transparencia, </w:t>
      </w:r>
      <w:r w:rsidR="000335EB">
        <w:rPr>
          <w:rFonts w:ascii="Verdana" w:hAnsi="Verdana" w:cs="Arial"/>
        </w:rPr>
        <w:t xml:space="preserve">e </w:t>
      </w:r>
      <w:r w:rsidRPr="001F0925">
        <w:rPr>
          <w:rFonts w:ascii="Verdana" w:hAnsi="Verdana" w:cs="Arial"/>
        </w:rPr>
        <w:t>integridad previstos en este capítulo.</w:t>
      </w:r>
    </w:p>
    <w:p w14:paraId="1335C5E6" w14:textId="77777777" w:rsidR="008011DC" w:rsidRPr="00CC3937" w:rsidRDefault="008011DC" w:rsidP="00832408">
      <w:pPr>
        <w:spacing w:after="0" w:line="240" w:lineRule="auto"/>
        <w:jc w:val="both"/>
        <w:rPr>
          <w:rFonts w:ascii="Verdana" w:hAnsi="Verdana"/>
        </w:rPr>
      </w:pPr>
    </w:p>
    <w:p w14:paraId="09A6E2A2" w14:textId="34AF22CC" w:rsidR="007A6A0A" w:rsidRDefault="007A6A0A" w:rsidP="005567FF">
      <w:pPr>
        <w:spacing w:after="0" w:line="240" w:lineRule="auto"/>
        <w:jc w:val="both"/>
        <w:rPr>
          <w:rFonts w:ascii="Verdana" w:hAnsi="Verdana"/>
        </w:rPr>
      </w:pPr>
      <w:r>
        <w:rPr>
          <w:rFonts w:ascii="Verdana" w:hAnsi="Verdana"/>
        </w:rPr>
        <w:t>1.5.6.</w:t>
      </w:r>
    </w:p>
    <w:p w14:paraId="427E83BA" w14:textId="349C0AE7" w:rsidR="00364766" w:rsidRPr="007D2DDE" w:rsidRDefault="003928EA" w:rsidP="005567FF">
      <w:pPr>
        <w:spacing w:after="0" w:line="240" w:lineRule="auto"/>
        <w:jc w:val="both"/>
        <w:rPr>
          <w:rFonts w:ascii="Verdana" w:hAnsi="Verdana"/>
        </w:rPr>
      </w:pPr>
      <w:r w:rsidRPr="003928EA">
        <w:rPr>
          <w:rFonts w:ascii="Verdana" w:hAnsi="Verdana" w:cs="Arial"/>
        </w:rPr>
        <w:t>Para efectos ilustrativos y sin carácter taxativo, podrán ser consideradas manifestaciones del riesgo de conductas, en la medida en que tengan incidencia en los consumidores financieros o en la transparencia e integridad del mercado, entre otras, las siguientes</w:t>
      </w:r>
      <w:r w:rsidR="003F033C">
        <w:rPr>
          <w:rFonts w:ascii="Verdana" w:hAnsi="Verdana" w:cs="Arial"/>
        </w:rPr>
        <w:t xml:space="preserve"> situaciones</w:t>
      </w:r>
      <w:r w:rsidRPr="003928EA">
        <w:rPr>
          <w:rFonts w:ascii="Verdana" w:hAnsi="Verdana" w:cs="Arial"/>
        </w:rPr>
        <w:t>: conflictos de interés no gestionados en la relación con consumidores financieros o participantes del mercado, actos de corrupción, manipulación o falseamiento de información, uso indebido de datos personales, suministro de información engañosa, prácticas de venta no transparentes</w:t>
      </w:r>
      <w:r w:rsidR="00383410">
        <w:rPr>
          <w:rFonts w:ascii="Verdana" w:hAnsi="Verdana" w:cs="Arial"/>
        </w:rPr>
        <w:t>,</w:t>
      </w:r>
      <w:r w:rsidRPr="003928EA">
        <w:rPr>
          <w:rFonts w:ascii="Verdana" w:hAnsi="Verdana" w:cs="Arial"/>
        </w:rPr>
        <w:t xml:space="preserve"> y demás actuaciones que vulneren los deberes de protección al consumidor financiero o la integridad y transparencia del mercado.</w:t>
      </w:r>
    </w:p>
    <w:p w14:paraId="5EC28E4C" w14:textId="77777777" w:rsidR="00364766" w:rsidRPr="00CC3937" w:rsidRDefault="00364766" w:rsidP="005567FF">
      <w:pPr>
        <w:spacing w:after="0" w:line="240" w:lineRule="auto"/>
        <w:jc w:val="both"/>
        <w:rPr>
          <w:rFonts w:ascii="Verdana" w:hAnsi="Verdana" w:cs="Arial"/>
          <w:b/>
          <w:bCs/>
        </w:rPr>
      </w:pPr>
    </w:p>
    <w:p w14:paraId="6B649248" w14:textId="0BE272E4" w:rsidR="00A31E7D" w:rsidRPr="00A31E7D" w:rsidRDefault="00A31E7D" w:rsidP="00A31E7D">
      <w:pPr>
        <w:spacing w:line="240" w:lineRule="auto"/>
        <w:jc w:val="both"/>
        <w:rPr>
          <w:rFonts w:ascii="Verdana" w:hAnsi="Verdana"/>
          <w:b/>
          <w:bCs/>
        </w:rPr>
      </w:pPr>
      <w:r w:rsidRPr="00A31E7D">
        <w:rPr>
          <w:rFonts w:ascii="Verdana" w:hAnsi="Verdana"/>
          <w:b/>
          <w:bCs/>
        </w:rPr>
        <w:t>Ámbito de aplicación</w:t>
      </w:r>
    </w:p>
    <w:p w14:paraId="3F2E3204" w14:textId="5D9CD14F" w:rsidR="005567FF" w:rsidRPr="00CC3937" w:rsidRDefault="007A6A0A" w:rsidP="005567FF">
      <w:pPr>
        <w:spacing w:after="0" w:line="240" w:lineRule="auto"/>
        <w:jc w:val="both"/>
        <w:rPr>
          <w:rFonts w:ascii="Verdana" w:hAnsi="Verdana"/>
        </w:rPr>
      </w:pPr>
      <w:r>
        <w:rPr>
          <w:rFonts w:ascii="Verdana" w:hAnsi="Verdana"/>
        </w:rPr>
        <w:t>1.5.7.</w:t>
      </w:r>
    </w:p>
    <w:p w14:paraId="3E17856E" w14:textId="095E42C3" w:rsidR="006E4EC4" w:rsidRDefault="00651CFF" w:rsidP="000A2B5A">
      <w:pPr>
        <w:spacing w:after="0" w:line="240" w:lineRule="auto"/>
        <w:jc w:val="both"/>
        <w:rPr>
          <w:rFonts w:ascii="Verdana" w:hAnsi="Verdana" w:cs="Arial"/>
        </w:rPr>
      </w:pPr>
      <w:r w:rsidRPr="00651CFF">
        <w:rPr>
          <w:rFonts w:ascii="Verdana" w:hAnsi="Verdana" w:cs="Arial"/>
        </w:rPr>
        <w:t xml:space="preserve">Las instrucciones contenidas en el presente capítulo serán aplicables a las entidades vigiladas </w:t>
      </w:r>
      <w:r w:rsidR="001C47E5">
        <w:rPr>
          <w:rFonts w:ascii="Verdana" w:hAnsi="Verdana" w:cs="Arial"/>
        </w:rPr>
        <w:t xml:space="preserve">señaladas en el párrafo 1.5.9. </w:t>
      </w:r>
      <w:r w:rsidRPr="00651CFF">
        <w:rPr>
          <w:rFonts w:ascii="Verdana" w:hAnsi="Verdana" w:cs="Arial"/>
        </w:rPr>
        <w:t>que, en desarrollo de su actividad, tengan relación directa con consumidores financieros, afiliados, beneficiarios, inversionistas o usuarios, o intervengan directamente en la prestación, distribución, comercialización o administración de productos o servicios financieros dirigidos a dichos destinatarios</w:t>
      </w:r>
      <w:r w:rsidR="003A649A" w:rsidRPr="003A649A">
        <w:rPr>
          <w:rFonts w:ascii="Verdana" w:hAnsi="Verdana" w:cs="Arial"/>
        </w:rPr>
        <w:t>.</w:t>
      </w:r>
      <w:r w:rsidR="00D71AE3">
        <w:rPr>
          <w:rFonts w:ascii="Verdana" w:hAnsi="Verdana" w:cs="Arial"/>
        </w:rPr>
        <w:t xml:space="preserve"> </w:t>
      </w:r>
    </w:p>
    <w:p w14:paraId="1D76E9C5" w14:textId="77777777" w:rsidR="006E4EC4" w:rsidRDefault="006E4EC4" w:rsidP="000A2B5A">
      <w:pPr>
        <w:spacing w:after="0" w:line="240" w:lineRule="auto"/>
        <w:jc w:val="both"/>
        <w:rPr>
          <w:rFonts w:ascii="Verdana" w:hAnsi="Verdana" w:cs="Arial"/>
        </w:rPr>
      </w:pPr>
    </w:p>
    <w:p w14:paraId="698B7849" w14:textId="44F0DC67" w:rsidR="006E4EC4" w:rsidRDefault="006E4EC4" w:rsidP="000A2B5A">
      <w:pPr>
        <w:spacing w:after="0" w:line="240" w:lineRule="auto"/>
        <w:jc w:val="both"/>
        <w:rPr>
          <w:rFonts w:ascii="Verdana" w:hAnsi="Verdana" w:cs="Arial"/>
        </w:rPr>
      </w:pPr>
      <w:r>
        <w:rPr>
          <w:rFonts w:ascii="Verdana" w:hAnsi="Verdana" w:cs="Arial"/>
        </w:rPr>
        <w:t>1.5.8.</w:t>
      </w:r>
    </w:p>
    <w:p w14:paraId="621EF99A" w14:textId="64144C34" w:rsidR="007862CC" w:rsidRPr="00CC3937" w:rsidRDefault="00D71AE3" w:rsidP="000A2B5A">
      <w:pPr>
        <w:spacing w:after="0" w:line="240" w:lineRule="auto"/>
        <w:jc w:val="both"/>
        <w:rPr>
          <w:rFonts w:ascii="Verdana" w:hAnsi="Verdana" w:cs="Arial"/>
        </w:rPr>
      </w:pPr>
      <w:r w:rsidRPr="00D71AE3">
        <w:rPr>
          <w:rFonts w:ascii="Verdana" w:hAnsi="Verdana" w:cs="Arial"/>
        </w:rPr>
        <w:t>Para efectos del presente capítulo,</w:t>
      </w:r>
      <w:r w:rsidR="005E7D2C">
        <w:rPr>
          <w:rFonts w:ascii="Verdana" w:hAnsi="Verdana" w:cs="Arial"/>
        </w:rPr>
        <w:t xml:space="preserve"> las instrucciones</w:t>
      </w:r>
      <w:r w:rsidR="006632DC">
        <w:rPr>
          <w:rFonts w:ascii="Verdana" w:hAnsi="Verdana" w:cs="Arial"/>
        </w:rPr>
        <w:t xml:space="preserve"> sobre la </w:t>
      </w:r>
      <w:r w:rsidR="00B84577">
        <w:rPr>
          <w:rFonts w:ascii="Verdana" w:hAnsi="Verdana" w:cs="Arial"/>
        </w:rPr>
        <w:t>g</w:t>
      </w:r>
      <w:r w:rsidR="00B84577" w:rsidRPr="00676325">
        <w:rPr>
          <w:rFonts w:ascii="Verdana" w:hAnsi="Verdana" w:cs="Arial"/>
        </w:rPr>
        <w:t xml:space="preserve">estión del </w:t>
      </w:r>
      <w:r w:rsidR="00B84577">
        <w:rPr>
          <w:rFonts w:ascii="Verdana" w:hAnsi="Verdana" w:cs="Arial"/>
        </w:rPr>
        <w:t>r</w:t>
      </w:r>
      <w:r w:rsidR="00B84577" w:rsidRPr="00676325">
        <w:rPr>
          <w:rFonts w:ascii="Verdana" w:hAnsi="Verdana" w:cs="Arial"/>
        </w:rPr>
        <w:t xml:space="preserve">iesgo de </w:t>
      </w:r>
      <w:r w:rsidR="00B84577">
        <w:rPr>
          <w:rFonts w:ascii="Verdana" w:hAnsi="Verdana" w:cs="Arial"/>
        </w:rPr>
        <w:t>c</w:t>
      </w:r>
      <w:r w:rsidR="00B84577" w:rsidRPr="00676325">
        <w:rPr>
          <w:rFonts w:ascii="Verdana" w:hAnsi="Verdana" w:cs="Arial"/>
        </w:rPr>
        <w:t>onductas</w:t>
      </w:r>
      <w:r w:rsidR="00B84577">
        <w:rPr>
          <w:rFonts w:ascii="Verdana" w:hAnsi="Verdana" w:cs="Arial"/>
        </w:rPr>
        <w:t xml:space="preserve"> de afectación al consumidor financiero</w:t>
      </w:r>
      <w:r w:rsidR="00B84577" w:rsidRPr="00676325">
        <w:rPr>
          <w:rFonts w:ascii="Verdana" w:hAnsi="Verdana" w:cs="Arial"/>
        </w:rPr>
        <w:t xml:space="preserve"> </w:t>
      </w:r>
      <w:r w:rsidR="006632DC" w:rsidRPr="00676325">
        <w:rPr>
          <w:rFonts w:ascii="Verdana" w:hAnsi="Verdana" w:cs="Arial"/>
        </w:rPr>
        <w:t xml:space="preserve">(GERCO) </w:t>
      </w:r>
      <w:r w:rsidR="006632DC">
        <w:rPr>
          <w:rFonts w:ascii="Verdana" w:hAnsi="Verdana" w:cs="Arial"/>
        </w:rPr>
        <w:t>son aplicables a las entidades señaladas en el párrafo 1.5.7.</w:t>
      </w:r>
      <w:r w:rsidR="00B66E6C">
        <w:rPr>
          <w:rFonts w:ascii="Verdana" w:hAnsi="Verdana" w:cs="Arial"/>
        </w:rPr>
        <w:t xml:space="preserve"> del presente capítulo, en relación con las acciones directas de la </w:t>
      </w:r>
      <w:proofErr w:type="gramStart"/>
      <w:r w:rsidR="00B66E6C">
        <w:rPr>
          <w:rFonts w:ascii="Verdana" w:hAnsi="Verdana" w:cs="Arial"/>
        </w:rPr>
        <w:t>entidad</w:t>
      </w:r>
      <w:proofErr w:type="gramEnd"/>
      <w:r w:rsidR="00B66E6C">
        <w:rPr>
          <w:rFonts w:ascii="Verdana" w:hAnsi="Verdana" w:cs="Arial"/>
        </w:rPr>
        <w:t xml:space="preserve"> así como por aquellas </w:t>
      </w:r>
      <w:r w:rsidRPr="00D71AE3">
        <w:rPr>
          <w:rFonts w:ascii="Verdana" w:hAnsi="Verdana" w:cs="Arial"/>
        </w:rPr>
        <w:t>actuaciones de administradores, empleados y terceros que actúen en nombre de la entidad vigilada, cuando dichas actuaciones puedan generar afectaciones a los consumidores financieros, afiliados, beneficiarios, inversionistas o usuarios, o comprometer la transparencia e integridad del mercado en el marco de la actividad de la entidad.</w:t>
      </w:r>
    </w:p>
    <w:p w14:paraId="315C778C" w14:textId="77777777" w:rsidR="007862CC" w:rsidRDefault="007862CC" w:rsidP="000A2B5A">
      <w:pPr>
        <w:spacing w:after="0" w:line="240" w:lineRule="auto"/>
        <w:jc w:val="both"/>
        <w:rPr>
          <w:rFonts w:ascii="Verdana" w:hAnsi="Verdana" w:cs="Arial"/>
        </w:rPr>
      </w:pPr>
    </w:p>
    <w:p w14:paraId="4BCAAB22" w14:textId="77777777" w:rsidR="00522EB2" w:rsidRDefault="00522EB2" w:rsidP="00D71AE3">
      <w:pPr>
        <w:spacing w:after="0" w:line="240" w:lineRule="auto"/>
        <w:jc w:val="both"/>
        <w:rPr>
          <w:rFonts w:ascii="Verdana" w:hAnsi="Verdana"/>
        </w:rPr>
      </w:pPr>
      <w:r>
        <w:rPr>
          <w:rFonts w:ascii="Verdana" w:hAnsi="Verdana"/>
        </w:rPr>
        <w:t xml:space="preserve">1.5.9. </w:t>
      </w:r>
    </w:p>
    <w:p w14:paraId="08A70930" w14:textId="0A203751" w:rsidR="00D71AE3" w:rsidRDefault="00D71AE3" w:rsidP="00D71AE3">
      <w:pPr>
        <w:spacing w:after="0" w:line="240" w:lineRule="auto"/>
        <w:jc w:val="both"/>
        <w:rPr>
          <w:rFonts w:ascii="Verdana" w:hAnsi="Verdana"/>
        </w:rPr>
      </w:pPr>
      <w:r w:rsidRPr="00D71AE3">
        <w:rPr>
          <w:rFonts w:ascii="Verdana" w:hAnsi="Verdana"/>
        </w:rPr>
        <w:t>En particular, deberán dar cumplimiento a las presentes instrucciones, según corresponda a la naturaleza de sus actividades y operaciones</w:t>
      </w:r>
      <w:r w:rsidR="00DF2EF1">
        <w:rPr>
          <w:rFonts w:ascii="Verdana" w:hAnsi="Verdana"/>
        </w:rPr>
        <w:t>, las siguientes entidades vigiladas</w:t>
      </w:r>
      <w:r w:rsidRPr="00D71AE3">
        <w:rPr>
          <w:rFonts w:ascii="Verdana" w:hAnsi="Verdana"/>
        </w:rPr>
        <w:t>:</w:t>
      </w:r>
    </w:p>
    <w:p w14:paraId="178733BE" w14:textId="77777777" w:rsidR="00D71AE3" w:rsidRPr="00D71AE3" w:rsidRDefault="00D71AE3" w:rsidP="00D71AE3">
      <w:pPr>
        <w:spacing w:after="0" w:line="240" w:lineRule="auto"/>
        <w:jc w:val="both"/>
        <w:rPr>
          <w:rFonts w:ascii="Verdana" w:hAnsi="Verdana"/>
        </w:rPr>
      </w:pPr>
    </w:p>
    <w:p w14:paraId="0B181DB4" w14:textId="51293310" w:rsidR="00D71AE3" w:rsidRPr="006C228B" w:rsidRDefault="00D71AE3" w:rsidP="00A46363">
      <w:pPr>
        <w:pStyle w:val="Prrafodelista"/>
        <w:numPr>
          <w:ilvl w:val="0"/>
          <w:numId w:val="43"/>
        </w:numPr>
        <w:spacing w:after="0" w:line="240" w:lineRule="auto"/>
        <w:ind w:left="567" w:hanging="567"/>
        <w:jc w:val="both"/>
        <w:rPr>
          <w:rFonts w:ascii="Verdana" w:hAnsi="Verdana"/>
        </w:rPr>
      </w:pPr>
      <w:r w:rsidRPr="006C228B">
        <w:rPr>
          <w:rFonts w:ascii="Verdana" w:hAnsi="Verdana"/>
        </w:rPr>
        <w:t>Los establecimientos de crédito.</w:t>
      </w:r>
    </w:p>
    <w:p w14:paraId="10B381E7" w14:textId="77777777" w:rsidR="00CB4C97" w:rsidRDefault="00CB4C97" w:rsidP="00A46363">
      <w:pPr>
        <w:pStyle w:val="Prrafodelista"/>
        <w:spacing w:after="0" w:line="240" w:lineRule="auto"/>
        <w:ind w:left="567"/>
        <w:jc w:val="both"/>
        <w:rPr>
          <w:rFonts w:ascii="Verdana" w:hAnsi="Verdana"/>
        </w:rPr>
      </w:pPr>
    </w:p>
    <w:p w14:paraId="17BE8176" w14:textId="65B9DCFC" w:rsidR="00DF2EF1" w:rsidRPr="006C228B" w:rsidRDefault="00D71AE3" w:rsidP="00A46363">
      <w:pPr>
        <w:pStyle w:val="Prrafodelista"/>
        <w:numPr>
          <w:ilvl w:val="0"/>
          <w:numId w:val="43"/>
        </w:numPr>
        <w:spacing w:after="0" w:line="240" w:lineRule="auto"/>
        <w:ind w:left="567" w:hanging="567"/>
        <w:jc w:val="both"/>
        <w:rPr>
          <w:rFonts w:ascii="Verdana" w:hAnsi="Verdana"/>
        </w:rPr>
      </w:pPr>
      <w:r w:rsidRPr="006C228B">
        <w:rPr>
          <w:rFonts w:ascii="Verdana" w:hAnsi="Verdana"/>
        </w:rPr>
        <w:t>Las sociedades de servicios financieros.</w:t>
      </w:r>
    </w:p>
    <w:p w14:paraId="7E9D82BB" w14:textId="77777777" w:rsidR="00CB4C97" w:rsidRDefault="00CB4C97" w:rsidP="00A46363">
      <w:pPr>
        <w:pStyle w:val="Prrafodelista"/>
        <w:spacing w:after="0" w:line="240" w:lineRule="auto"/>
        <w:ind w:left="567"/>
        <w:jc w:val="both"/>
        <w:rPr>
          <w:rFonts w:ascii="Verdana" w:hAnsi="Verdana"/>
        </w:rPr>
      </w:pPr>
    </w:p>
    <w:p w14:paraId="01B00713" w14:textId="52ED8F52" w:rsidR="00DF2EF1" w:rsidRPr="00A46363" w:rsidRDefault="00D71AE3" w:rsidP="00A46363">
      <w:pPr>
        <w:pStyle w:val="Prrafodelista"/>
        <w:numPr>
          <w:ilvl w:val="0"/>
          <w:numId w:val="43"/>
        </w:numPr>
        <w:spacing w:after="0" w:line="240" w:lineRule="auto"/>
        <w:ind w:left="567" w:hanging="567"/>
        <w:jc w:val="both"/>
        <w:rPr>
          <w:rFonts w:ascii="Verdana" w:hAnsi="Verdana"/>
        </w:rPr>
      </w:pPr>
      <w:r w:rsidRPr="00A46363">
        <w:rPr>
          <w:rFonts w:ascii="Verdana" w:hAnsi="Verdana"/>
        </w:rPr>
        <w:t>Las entidades aseguradoras.</w:t>
      </w:r>
    </w:p>
    <w:p w14:paraId="143CC27E" w14:textId="77777777" w:rsidR="00CB4C97" w:rsidRDefault="00CB4C97" w:rsidP="00A46363">
      <w:pPr>
        <w:pStyle w:val="Prrafodelista"/>
        <w:spacing w:after="0" w:line="240" w:lineRule="auto"/>
        <w:ind w:left="567"/>
        <w:jc w:val="both"/>
        <w:rPr>
          <w:rFonts w:ascii="Verdana" w:hAnsi="Verdana"/>
        </w:rPr>
      </w:pPr>
    </w:p>
    <w:p w14:paraId="5AD901CA" w14:textId="0133F8C2" w:rsidR="00DF2EF1" w:rsidRPr="00A46363" w:rsidRDefault="00D71AE3" w:rsidP="00A46363">
      <w:pPr>
        <w:pStyle w:val="Prrafodelista"/>
        <w:numPr>
          <w:ilvl w:val="0"/>
          <w:numId w:val="43"/>
        </w:numPr>
        <w:spacing w:after="0" w:line="240" w:lineRule="auto"/>
        <w:ind w:left="567" w:hanging="567"/>
        <w:jc w:val="both"/>
        <w:rPr>
          <w:rFonts w:ascii="Verdana" w:hAnsi="Verdana"/>
        </w:rPr>
      </w:pPr>
      <w:r w:rsidRPr="00A46363">
        <w:rPr>
          <w:rFonts w:ascii="Verdana" w:hAnsi="Verdana"/>
        </w:rPr>
        <w:t>Los corredores de seguros y de reaseguros.</w:t>
      </w:r>
    </w:p>
    <w:p w14:paraId="60429CCF" w14:textId="77777777" w:rsidR="00CB4C97" w:rsidRDefault="00CB4C97" w:rsidP="00A46363">
      <w:pPr>
        <w:pStyle w:val="Prrafodelista"/>
        <w:spacing w:after="0" w:line="240" w:lineRule="auto"/>
        <w:ind w:left="567"/>
        <w:jc w:val="both"/>
        <w:rPr>
          <w:rFonts w:ascii="Verdana" w:hAnsi="Verdana"/>
        </w:rPr>
      </w:pPr>
    </w:p>
    <w:p w14:paraId="0FCE13DB" w14:textId="6034D835" w:rsidR="00DF2EF1" w:rsidRPr="00A46363" w:rsidRDefault="00D71AE3" w:rsidP="00A46363">
      <w:pPr>
        <w:pStyle w:val="Prrafodelista"/>
        <w:numPr>
          <w:ilvl w:val="0"/>
          <w:numId w:val="43"/>
        </w:numPr>
        <w:spacing w:after="0" w:line="240" w:lineRule="auto"/>
        <w:ind w:left="567" w:hanging="567"/>
        <w:jc w:val="both"/>
        <w:rPr>
          <w:rFonts w:ascii="Verdana" w:hAnsi="Verdana"/>
        </w:rPr>
      </w:pPr>
      <w:r w:rsidRPr="00A46363">
        <w:rPr>
          <w:rFonts w:ascii="Verdana" w:hAnsi="Verdana"/>
        </w:rPr>
        <w:t>Las sociedades de capitalización.</w:t>
      </w:r>
    </w:p>
    <w:p w14:paraId="59FC4E46" w14:textId="77777777" w:rsidR="00CB4C97" w:rsidRDefault="00CB4C97" w:rsidP="00A46363">
      <w:pPr>
        <w:pStyle w:val="Prrafodelista"/>
        <w:spacing w:after="0" w:line="240" w:lineRule="auto"/>
        <w:ind w:left="567"/>
        <w:jc w:val="both"/>
        <w:rPr>
          <w:rFonts w:ascii="Verdana" w:hAnsi="Verdana"/>
        </w:rPr>
      </w:pPr>
    </w:p>
    <w:p w14:paraId="4DA67EF0" w14:textId="4E7A57DF" w:rsidR="00927C4E" w:rsidRPr="00A46363" w:rsidRDefault="00D71AE3" w:rsidP="00A46363">
      <w:pPr>
        <w:pStyle w:val="Prrafodelista"/>
        <w:numPr>
          <w:ilvl w:val="0"/>
          <w:numId w:val="43"/>
        </w:numPr>
        <w:spacing w:after="0" w:line="240" w:lineRule="auto"/>
        <w:ind w:left="567" w:hanging="567"/>
        <w:jc w:val="both"/>
        <w:rPr>
          <w:rFonts w:ascii="Verdana" w:hAnsi="Verdana"/>
        </w:rPr>
      </w:pPr>
      <w:r w:rsidRPr="00A46363">
        <w:rPr>
          <w:rFonts w:ascii="Verdana" w:hAnsi="Verdana"/>
        </w:rPr>
        <w:t>Las sociedades administradoras de fondos de pensiones y de cesantía.</w:t>
      </w:r>
    </w:p>
    <w:p w14:paraId="715D2CA8" w14:textId="77777777" w:rsidR="00CB4C97" w:rsidRDefault="00CB4C97" w:rsidP="00A46363">
      <w:pPr>
        <w:pStyle w:val="Prrafodelista"/>
        <w:spacing w:after="0" w:line="240" w:lineRule="auto"/>
        <w:ind w:left="567"/>
        <w:jc w:val="both"/>
        <w:rPr>
          <w:rFonts w:ascii="Verdana" w:hAnsi="Verdana"/>
        </w:rPr>
      </w:pPr>
    </w:p>
    <w:p w14:paraId="519D526C" w14:textId="3258C5B2" w:rsidR="00927C4E" w:rsidRPr="00A46363" w:rsidRDefault="00D71AE3" w:rsidP="00A46363">
      <w:pPr>
        <w:pStyle w:val="Prrafodelista"/>
        <w:numPr>
          <w:ilvl w:val="0"/>
          <w:numId w:val="43"/>
        </w:numPr>
        <w:spacing w:after="0" w:line="240" w:lineRule="auto"/>
        <w:ind w:left="567" w:hanging="567"/>
        <w:jc w:val="both"/>
        <w:rPr>
          <w:rFonts w:ascii="Verdana" w:hAnsi="Verdana"/>
        </w:rPr>
      </w:pPr>
      <w:r w:rsidRPr="00A46363">
        <w:rPr>
          <w:rFonts w:ascii="Verdana" w:hAnsi="Verdana"/>
        </w:rPr>
        <w:t>Las entidades de seguridad social administradoras del régimen solidario de prima media con prestación definida.</w:t>
      </w:r>
    </w:p>
    <w:p w14:paraId="7C86E4FF" w14:textId="77777777" w:rsidR="00CB4C97" w:rsidRDefault="00CB4C97" w:rsidP="00A46363">
      <w:pPr>
        <w:pStyle w:val="Prrafodelista"/>
        <w:spacing w:after="0" w:line="240" w:lineRule="auto"/>
        <w:ind w:left="567"/>
        <w:jc w:val="both"/>
        <w:rPr>
          <w:rFonts w:ascii="Verdana" w:hAnsi="Verdana"/>
        </w:rPr>
      </w:pPr>
    </w:p>
    <w:p w14:paraId="6C5A68FA" w14:textId="392AB863" w:rsidR="00927C4E" w:rsidRPr="00A46363" w:rsidRDefault="00D71AE3" w:rsidP="00A46363">
      <w:pPr>
        <w:pStyle w:val="Prrafodelista"/>
        <w:numPr>
          <w:ilvl w:val="0"/>
          <w:numId w:val="43"/>
        </w:numPr>
        <w:spacing w:after="0" w:line="240" w:lineRule="auto"/>
        <w:ind w:left="567" w:hanging="567"/>
        <w:jc w:val="both"/>
        <w:rPr>
          <w:rFonts w:ascii="Verdana" w:hAnsi="Verdana"/>
        </w:rPr>
      </w:pPr>
      <w:r w:rsidRPr="00A46363">
        <w:rPr>
          <w:rFonts w:ascii="Verdana" w:hAnsi="Verdana"/>
        </w:rPr>
        <w:t xml:space="preserve">Los miembros de las bolsas de bienes y productos agropecuarios, agroindustriales o de otros </w:t>
      </w:r>
      <w:proofErr w:type="spellStart"/>
      <w:r w:rsidRPr="00A46363">
        <w:rPr>
          <w:rFonts w:ascii="Verdana" w:hAnsi="Verdana"/>
          <w:i/>
          <w:iCs/>
        </w:rPr>
        <w:t>commodities</w:t>
      </w:r>
      <w:proofErr w:type="spellEnd"/>
      <w:r w:rsidRPr="00A46363">
        <w:rPr>
          <w:rFonts w:ascii="Verdana" w:hAnsi="Verdana"/>
        </w:rPr>
        <w:t>.</w:t>
      </w:r>
    </w:p>
    <w:p w14:paraId="7F48F216" w14:textId="77777777" w:rsidR="00CB4C97" w:rsidRDefault="00CB4C97" w:rsidP="00A46363">
      <w:pPr>
        <w:pStyle w:val="Prrafodelista"/>
        <w:spacing w:after="0" w:line="240" w:lineRule="auto"/>
        <w:ind w:left="567"/>
        <w:jc w:val="both"/>
        <w:rPr>
          <w:rFonts w:ascii="Verdana" w:hAnsi="Verdana"/>
        </w:rPr>
      </w:pPr>
    </w:p>
    <w:p w14:paraId="546D0714" w14:textId="463D19BD" w:rsidR="00927C4E" w:rsidRPr="00A46363" w:rsidRDefault="00D71AE3" w:rsidP="00A46363">
      <w:pPr>
        <w:pStyle w:val="Prrafodelista"/>
        <w:numPr>
          <w:ilvl w:val="0"/>
          <w:numId w:val="43"/>
        </w:numPr>
        <w:spacing w:after="0" w:line="240" w:lineRule="auto"/>
        <w:ind w:left="567" w:hanging="567"/>
        <w:jc w:val="both"/>
        <w:rPr>
          <w:rFonts w:ascii="Verdana" w:hAnsi="Verdana"/>
        </w:rPr>
      </w:pPr>
      <w:r w:rsidRPr="00A46363">
        <w:rPr>
          <w:rFonts w:ascii="Verdana" w:hAnsi="Verdana"/>
        </w:rPr>
        <w:t>Las sociedades comisionistas de bolsa de valores.</w:t>
      </w:r>
    </w:p>
    <w:p w14:paraId="42A6E750" w14:textId="77777777" w:rsidR="00CB4C97" w:rsidRDefault="00CB4C97" w:rsidP="00A46363">
      <w:pPr>
        <w:pStyle w:val="Prrafodelista"/>
        <w:spacing w:after="0" w:line="240" w:lineRule="auto"/>
        <w:ind w:left="567"/>
        <w:jc w:val="both"/>
        <w:rPr>
          <w:rFonts w:ascii="Verdana" w:hAnsi="Verdana"/>
        </w:rPr>
      </w:pPr>
    </w:p>
    <w:p w14:paraId="3FAF1F42" w14:textId="236A53F5" w:rsidR="00927C4E" w:rsidRPr="00A46363" w:rsidRDefault="00D71AE3" w:rsidP="00A46363">
      <w:pPr>
        <w:pStyle w:val="Prrafodelista"/>
        <w:numPr>
          <w:ilvl w:val="0"/>
          <w:numId w:val="43"/>
        </w:numPr>
        <w:spacing w:after="0" w:line="240" w:lineRule="auto"/>
        <w:ind w:left="567" w:hanging="567"/>
        <w:jc w:val="both"/>
        <w:rPr>
          <w:rFonts w:ascii="Verdana" w:hAnsi="Verdana"/>
        </w:rPr>
      </w:pPr>
      <w:r w:rsidRPr="00A46363">
        <w:rPr>
          <w:rFonts w:ascii="Verdana" w:hAnsi="Verdana"/>
        </w:rPr>
        <w:t>Los comisionistas independientes de valores.</w:t>
      </w:r>
    </w:p>
    <w:p w14:paraId="3BA5EC33" w14:textId="77777777" w:rsidR="00CB4C97" w:rsidRDefault="00CB4C97" w:rsidP="00A46363">
      <w:pPr>
        <w:pStyle w:val="Prrafodelista"/>
        <w:spacing w:after="0" w:line="240" w:lineRule="auto"/>
        <w:ind w:left="567"/>
        <w:jc w:val="both"/>
        <w:rPr>
          <w:rFonts w:ascii="Verdana" w:hAnsi="Verdana"/>
        </w:rPr>
      </w:pPr>
    </w:p>
    <w:p w14:paraId="4A8E2BB1" w14:textId="0F10DA0C" w:rsidR="005E57AE" w:rsidRPr="00A46363" w:rsidRDefault="00082B09" w:rsidP="00A46363">
      <w:pPr>
        <w:pStyle w:val="Prrafodelista"/>
        <w:numPr>
          <w:ilvl w:val="0"/>
          <w:numId w:val="43"/>
        </w:numPr>
        <w:spacing w:after="0" w:line="240" w:lineRule="auto"/>
        <w:ind w:left="567" w:hanging="567"/>
        <w:jc w:val="both"/>
        <w:rPr>
          <w:rFonts w:ascii="Verdana" w:hAnsi="Verdana"/>
        </w:rPr>
      </w:pPr>
      <w:r w:rsidRPr="00A46363">
        <w:rPr>
          <w:rFonts w:ascii="Verdana" w:hAnsi="Verdana"/>
        </w:rPr>
        <w:lastRenderedPageBreak/>
        <w:t xml:space="preserve">Las sociedades administradoras de fondos de inversión y las demás </w:t>
      </w:r>
      <w:r w:rsidR="00927C4E" w:rsidRPr="00A46363">
        <w:rPr>
          <w:rFonts w:ascii="Verdana" w:hAnsi="Verdana"/>
        </w:rPr>
        <w:t>entidades</w:t>
      </w:r>
      <w:r w:rsidRPr="00A46363">
        <w:rPr>
          <w:rFonts w:ascii="Verdana" w:hAnsi="Verdana"/>
        </w:rPr>
        <w:t xml:space="preserve"> que administren, distribuyan o comercialicen recursos de terceros, fondos, portafolios, vehículos de inversión o esquemas administrados.</w:t>
      </w:r>
    </w:p>
    <w:p w14:paraId="663AC806" w14:textId="77777777" w:rsidR="00CB4C97" w:rsidRDefault="00CB4C97" w:rsidP="00A46363">
      <w:pPr>
        <w:pStyle w:val="Prrafodelista"/>
        <w:spacing w:after="0" w:line="240" w:lineRule="auto"/>
        <w:ind w:left="567"/>
        <w:jc w:val="both"/>
        <w:rPr>
          <w:rFonts w:ascii="Verdana" w:hAnsi="Verdana"/>
        </w:rPr>
      </w:pPr>
    </w:p>
    <w:p w14:paraId="3E96D1AF" w14:textId="12355118" w:rsidR="00CB4C97" w:rsidRDefault="00D71AE3" w:rsidP="005E57AE">
      <w:pPr>
        <w:pStyle w:val="Prrafodelista"/>
        <w:numPr>
          <w:ilvl w:val="0"/>
          <w:numId w:val="43"/>
        </w:numPr>
        <w:spacing w:after="0" w:line="240" w:lineRule="auto"/>
        <w:ind w:left="567" w:hanging="567"/>
        <w:jc w:val="both"/>
        <w:rPr>
          <w:rFonts w:ascii="Verdana" w:hAnsi="Verdana"/>
        </w:rPr>
      </w:pPr>
      <w:r w:rsidRPr="00A46363">
        <w:rPr>
          <w:rFonts w:ascii="Verdana" w:hAnsi="Verdana"/>
        </w:rPr>
        <w:t>Las entidades de financiación colaborativa.</w:t>
      </w:r>
    </w:p>
    <w:p w14:paraId="60A45BE7" w14:textId="77777777" w:rsidR="005E57AE" w:rsidRPr="00A46363" w:rsidRDefault="005E57AE" w:rsidP="00A46363">
      <w:pPr>
        <w:pStyle w:val="Prrafodelista"/>
        <w:spacing w:after="0" w:line="240" w:lineRule="auto"/>
        <w:ind w:left="567"/>
        <w:jc w:val="both"/>
        <w:rPr>
          <w:rFonts w:ascii="Verdana" w:hAnsi="Verdana"/>
        </w:rPr>
      </w:pPr>
    </w:p>
    <w:p w14:paraId="5D610E67" w14:textId="7F0D6504" w:rsidR="005E57AE" w:rsidRPr="00A46363" w:rsidRDefault="00D71AE3" w:rsidP="00A46363">
      <w:pPr>
        <w:pStyle w:val="Prrafodelista"/>
        <w:numPr>
          <w:ilvl w:val="0"/>
          <w:numId w:val="43"/>
        </w:numPr>
        <w:spacing w:after="0" w:line="240" w:lineRule="auto"/>
        <w:ind w:left="567" w:hanging="567"/>
        <w:jc w:val="both"/>
        <w:rPr>
          <w:rFonts w:ascii="Verdana" w:hAnsi="Verdana"/>
        </w:rPr>
      </w:pPr>
      <w:r w:rsidRPr="00A46363">
        <w:rPr>
          <w:rFonts w:ascii="Verdana" w:hAnsi="Verdana"/>
        </w:rPr>
        <w:t>Las sociedades de intermediación cambiaria y de servicios financieros especiales.</w:t>
      </w:r>
    </w:p>
    <w:p w14:paraId="3C844A99" w14:textId="77777777" w:rsidR="00CB4C97" w:rsidRDefault="00CB4C97" w:rsidP="00A46363">
      <w:pPr>
        <w:pStyle w:val="Prrafodelista"/>
        <w:spacing w:after="0" w:line="240" w:lineRule="auto"/>
        <w:ind w:left="567"/>
        <w:jc w:val="both"/>
        <w:rPr>
          <w:rFonts w:ascii="Verdana" w:hAnsi="Verdana"/>
        </w:rPr>
      </w:pPr>
    </w:p>
    <w:p w14:paraId="6D5743A5" w14:textId="74ED31A9" w:rsidR="005E57AE" w:rsidRPr="00A46363" w:rsidRDefault="00D71AE3" w:rsidP="00A46363">
      <w:pPr>
        <w:pStyle w:val="Prrafodelista"/>
        <w:numPr>
          <w:ilvl w:val="0"/>
          <w:numId w:val="43"/>
        </w:numPr>
        <w:spacing w:after="0" w:line="240" w:lineRule="auto"/>
        <w:ind w:left="567" w:hanging="567"/>
        <w:jc w:val="both"/>
        <w:rPr>
          <w:rFonts w:ascii="Verdana" w:hAnsi="Verdana"/>
        </w:rPr>
      </w:pPr>
      <w:r w:rsidRPr="00A46363">
        <w:rPr>
          <w:rFonts w:ascii="Verdana" w:hAnsi="Verdana"/>
        </w:rPr>
        <w:t>Las Sociedades Especializadas en Depósitos y Pagos Electrónicos (SEDPE).</w:t>
      </w:r>
    </w:p>
    <w:p w14:paraId="432BF6C2" w14:textId="77777777" w:rsidR="00CB4C97" w:rsidRDefault="00CB4C97" w:rsidP="00A46363">
      <w:pPr>
        <w:pStyle w:val="Prrafodelista"/>
        <w:spacing w:after="0" w:line="240" w:lineRule="auto"/>
        <w:ind w:left="567"/>
        <w:jc w:val="both"/>
        <w:rPr>
          <w:rFonts w:ascii="Verdana" w:hAnsi="Verdana"/>
        </w:rPr>
      </w:pPr>
    </w:p>
    <w:p w14:paraId="0F53CDC9" w14:textId="199D3B0F" w:rsidR="005E57AE" w:rsidRPr="00A46363" w:rsidRDefault="00D71AE3" w:rsidP="00A46363">
      <w:pPr>
        <w:pStyle w:val="Prrafodelista"/>
        <w:numPr>
          <w:ilvl w:val="0"/>
          <w:numId w:val="43"/>
        </w:numPr>
        <w:spacing w:after="0" w:line="240" w:lineRule="auto"/>
        <w:ind w:left="567" w:hanging="567"/>
        <w:jc w:val="both"/>
        <w:rPr>
          <w:rFonts w:ascii="Verdana" w:hAnsi="Verdana"/>
        </w:rPr>
      </w:pPr>
      <w:r w:rsidRPr="00A46363">
        <w:rPr>
          <w:rFonts w:ascii="Verdana" w:hAnsi="Verdana"/>
        </w:rPr>
        <w:t>El Fondo Nacional del Ahorro (FNA).</w:t>
      </w:r>
    </w:p>
    <w:p w14:paraId="4BBF5EBF" w14:textId="77777777" w:rsidR="005E57AE" w:rsidRPr="00A46363" w:rsidRDefault="005E57AE" w:rsidP="00A46363">
      <w:pPr>
        <w:pStyle w:val="Prrafodelista"/>
        <w:spacing w:after="0" w:line="240" w:lineRule="auto"/>
        <w:ind w:left="567"/>
        <w:jc w:val="both"/>
        <w:rPr>
          <w:rFonts w:ascii="Verdana" w:hAnsi="Verdana"/>
        </w:rPr>
      </w:pPr>
    </w:p>
    <w:p w14:paraId="34774B49" w14:textId="035CA28F" w:rsidR="005E57AE" w:rsidRPr="00A46363" w:rsidRDefault="00D71AE3" w:rsidP="00A46363">
      <w:pPr>
        <w:pStyle w:val="Prrafodelista"/>
        <w:numPr>
          <w:ilvl w:val="0"/>
          <w:numId w:val="43"/>
        </w:numPr>
        <w:spacing w:after="0" w:line="240" w:lineRule="auto"/>
        <w:ind w:left="567" w:hanging="567"/>
        <w:jc w:val="both"/>
        <w:rPr>
          <w:rFonts w:ascii="Verdana" w:hAnsi="Verdana"/>
        </w:rPr>
      </w:pPr>
      <w:r w:rsidRPr="00A46363">
        <w:rPr>
          <w:rFonts w:ascii="Verdana" w:hAnsi="Verdana"/>
        </w:rPr>
        <w:t>La Caja Promotora de Vivienda Militar y de Policía o la entidad que haga sus veces.</w:t>
      </w:r>
    </w:p>
    <w:p w14:paraId="0A979BCE" w14:textId="77777777" w:rsidR="00F340BD" w:rsidRDefault="00F340BD" w:rsidP="00A46363">
      <w:pPr>
        <w:pStyle w:val="Prrafodelista"/>
        <w:spacing w:after="0" w:line="240" w:lineRule="auto"/>
        <w:ind w:left="567"/>
        <w:jc w:val="both"/>
        <w:rPr>
          <w:rFonts w:ascii="Verdana" w:hAnsi="Verdana"/>
        </w:rPr>
      </w:pPr>
    </w:p>
    <w:p w14:paraId="3D6D1125" w14:textId="13D4F3A3" w:rsidR="00D71AE3" w:rsidRPr="00A46363" w:rsidRDefault="00D71AE3" w:rsidP="00A46363">
      <w:pPr>
        <w:pStyle w:val="Prrafodelista"/>
        <w:numPr>
          <w:ilvl w:val="0"/>
          <w:numId w:val="43"/>
        </w:numPr>
        <w:spacing w:after="0" w:line="240" w:lineRule="auto"/>
        <w:ind w:left="567" w:hanging="567"/>
        <w:jc w:val="both"/>
        <w:rPr>
          <w:rFonts w:ascii="Verdana" w:hAnsi="Verdana"/>
        </w:rPr>
      </w:pPr>
      <w:r w:rsidRPr="00A46363">
        <w:rPr>
          <w:rFonts w:ascii="Verdana" w:hAnsi="Verdana"/>
        </w:rPr>
        <w:t xml:space="preserve">Las demás </w:t>
      </w:r>
      <w:r w:rsidR="001512A8" w:rsidRPr="00A46363">
        <w:rPr>
          <w:rFonts w:ascii="Verdana" w:hAnsi="Verdana"/>
        </w:rPr>
        <w:t>entidades vigiladas</w:t>
      </w:r>
      <w:r w:rsidRPr="00A46363">
        <w:rPr>
          <w:rFonts w:ascii="Verdana" w:hAnsi="Verdana"/>
        </w:rPr>
        <w:t xml:space="preserve"> por la Superintendencia Financiera de Colombia que</w:t>
      </w:r>
      <w:r w:rsidR="00D77A39">
        <w:rPr>
          <w:rFonts w:ascii="Verdana" w:hAnsi="Verdana"/>
        </w:rPr>
        <w:t xml:space="preserve"> cumplan con las condiciones señaladas en el párrafo 1.5.7</w:t>
      </w:r>
      <w:r w:rsidRPr="00A46363">
        <w:rPr>
          <w:rFonts w:ascii="Verdana" w:hAnsi="Verdana"/>
        </w:rPr>
        <w:t>.</w:t>
      </w:r>
    </w:p>
    <w:p w14:paraId="1D251364" w14:textId="77777777" w:rsidR="00A9794F" w:rsidRDefault="00A9794F" w:rsidP="00A9794F">
      <w:pPr>
        <w:spacing w:after="0" w:line="240" w:lineRule="auto"/>
        <w:jc w:val="both"/>
        <w:rPr>
          <w:rFonts w:ascii="Verdana" w:hAnsi="Verdana"/>
        </w:rPr>
      </w:pPr>
    </w:p>
    <w:p w14:paraId="768DD88E" w14:textId="5FC2A01B" w:rsidR="009E214A" w:rsidRDefault="009E214A" w:rsidP="00A9794F">
      <w:pPr>
        <w:spacing w:after="0" w:line="240" w:lineRule="auto"/>
        <w:jc w:val="both"/>
        <w:rPr>
          <w:rFonts w:ascii="Verdana" w:hAnsi="Verdana"/>
        </w:rPr>
      </w:pPr>
      <w:r>
        <w:rPr>
          <w:rFonts w:ascii="Verdana" w:hAnsi="Verdana"/>
        </w:rPr>
        <w:t>1.5.10.</w:t>
      </w:r>
    </w:p>
    <w:p w14:paraId="592A90F1" w14:textId="75471C0F" w:rsidR="00A9794F" w:rsidRPr="00A9794F" w:rsidRDefault="00494773" w:rsidP="00A9794F">
      <w:pPr>
        <w:spacing w:after="0" w:line="240" w:lineRule="auto"/>
        <w:jc w:val="both"/>
        <w:rPr>
          <w:rFonts w:ascii="Verdana" w:hAnsi="Verdana"/>
        </w:rPr>
      </w:pPr>
      <w:r w:rsidRPr="00494773">
        <w:rPr>
          <w:rFonts w:ascii="Verdana" w:hAnsi="Verdana"/>
        </w:rPr>
        <w:t>Los fondos, patrimonios autónomos, portafolios, vehículos o esquemas administrados no tendrán la condición de sujetos obligados autónomos, sin perjuicio de que la entidad responsable de su administración, distribución o comercialización deba gestionar los riesgos de conducta asociados a los mismos.</w:t>
      </w:r>
    </w:p>
    <w:p w14:paraId="6AC519B4" w14:textId="77777777" w:rsidR="000A2B5A" w:rsidRPr="00960EA0" w:rsidRDefault="000A2B5A" w:rsidP="000A2B5A">
      <w:pPr>
        <w:spacing w:after="0" w:line="240" w:lineRule="auto"/>
        <w:jc w:val="both"/>
        <w:rPr>
          <w:rFonts w:ascii="Verdana" w:hAnsi="Verdana"/>
        </w:rPr>
      </w:pPr>
    </w:p>
    <w:p w14:paraId="3E65E1C0" w14:textId="77777777" w:rsidR="0069100E" w:rsidRDefault="000A2B5A" w:rsidP="009C7E51">
      <w:pPr>
        <w:spacing w:after="0" w:line="240" w:lineRule="auto"/>
        <w:jc w:val="both"/>
        <w:rPr>
          <w:rFonts w:ascii="Verdana" w:hAnsi="Verdana"/>
        </w:rPr>
      </w:pPr>
      <w:r w:rsidRPr="00960EA0">
        <w:rPr>
          <w:rFonts w:ascii="Verdana" w:hAnsi="Verdana"/>
        </w:rPr>
        <w:t>1.</w:t>
      </w:r>
      <w:r w:rsidR="00364766" w:rsidRPr="00960EA0">
        <w:rPr>
          <w:rFonts w:ascii="Verdana" w:hAnsi="Verdana"/>
        </w:rPr>
        <w:t>5</w:t>
      </w:r>
      <w:r w:rsidRPr="00960EA0">
        <w:rPr>
          <w:rFonts w:ascii="Verdana" w:hAnsi="Verdana"/>
        </w:rPr>
        <w:t>.</w:t>
      </w:r>
      <w:r w:rsidR="0069100E">
        <w:rPr>
          <w:rFonts w:ascii="Verdana" w:hAnsi="Verdana"/>
        </w:rPr>
        <w:t>11.</w:t>
      </w:r>
    </w:p>
    <w:p w14:paraId="0B47ADBF" w14:textId="38889656" w:rsidR="00647188" w:rsidRPr="009C7E51" w:rsidRDefault="0069100E" w:rsidP="009C7E51">
      <w:pPr>
        <w:spacing w:after="0" w:line="240" w:lineRule="auto"/>
        <w:jc w:val="both"/>
        <w:rPr>
          <w:rFonts w:ascii="Verdana" w:hAnsi="Verdana"/>
        </w:rPr>
      </w:pPr>
      <w:r>
        <w:rPr>
          <w:rFonts w:ascii="Verdana" w:hAnsi="Verdana" w:cs="Arial"/>
        </w:rPr>
        <w:t xml:space="preserve">La </w:t>
      </w:r>
      <w:r w:rsidR="00B84577">
        <w:rPr>
          <w:rFonts w:ascii="Verdana" w:hAnsi="Verdana" w:cs="Arial"/>
        </w:rPr>
        <w:t>g</w:t>
      </w:r>
      <w:r w:rsidR="00B84577" w:rsidRPr="00676325">
        <w:rPr>
          <w:rFonts w:ascii="Verdana" w:hAnsi="Verdana" w:cs="Arial"/>
        </w:rPr>
        <w:t xml:space="preserve">estión del </w:t>
      </w:r>
      <w:r w:rsidR="00B84577">
        <w:rPr>
          <w:rFonts w:ascii="Verdana" w:hAnsi="Verdana" w:cs="Arial"/>
        </w:rPr>
        <w:t>r</w:t>
      </w:r>
      <w:r w:rsidR="00B84577" w:rsidRPr="00676325">
        <w:rPr>
          <w:rFonts w:ascii="Verdana" w:hAnsi="Verdana" w:cs="Arial"/>
        </w:rPr>
        <w:t xml:space="preserve">iesgo de </w:t>
      </w:r>
      <w:r w:rsidR="00B84577">
        <w:rPr>
          <w:rFonts w:ascii="Verdana" w:hAnsi="Verdana" w:cs="Arial"/>
        </w:rPr>
        <w:t>c</w:t>
      </w:r>
      <w:r w:rsidR="00B84577" w:rsidRPr="00676325">
        <w:rPr>
          <w:rFonts w:ascii="Verdana" w:hAnsi="Verdana" w:cs="Arial"/>
        </w:rPr>
        <w:t>onductas</w:t>
      </w:r>
      <w:r w:rsidR="00B84577">
        <w:rPr>
          <w:rFonts w:ascii="Verdana" w:hAnsi="Verdana" w:cs="Arial"/>
        </w:rPr>
        <w:t xml:space="preserve"> de afectación al consumidor financiero</w:t>
      </w:r>
      <w:r w:rsidR="00B84577" w:rsidRPr="00676325">
        <w:rPr>
          <w:rFonts w:ascii="Verdana" w:hAnsi="Verdana" w:cs="Arial"/>
        </w:rPr>
        <w:t xml:space="preserve"> </w:t>
      </w:r>
      <w:r w:rsidRPr="00676325">
        <w:rPr>
          <w:rFonts w:ascii="Verdana" w:hAnsi="Verdana" w:cs="Arial"/>
        </w:rPr>
        <w:t xml:space="preserve">(GERCO) </w:t>
      </w:r>
      <w:r w:rsidR="00683269" w:rsidRPr="00683269">
        <w:rPr>
          <w:rFonts w:ascii="Verdana" w:hAnsi="Verdana" w:cs="Arial"/>
        </w:rPr>
        <w:t>no sustituye otros sistemas de administración de riesgos, programas de cumplimiento, modelos de control interno o esquemas de gobierno corporativo aplicables a la entidad. En consecuencia, las entidades deberán articular el GERCO con dichos sistemas, programas o procesos, cuando resulte pertinente, con el fin de evitar duplicidades, vacíos de cobertura o cargas operativas innecesarias.</w:t>
      </w:r>
    </w:p>
    <w:p w14:paraId="454472BE" w14:textId="77777777" w:rsidR="009C7E51" w:rsidRDefault="009C7E51" w:rsidP="00A46363">
      <w:pPr>
        <w:spacing w:after="0" w:line="240" w:lineRule="auto"/>
        <w:jc w:val="both"/>
        <w:rPr>
          <w:rFonts w:ascii="Verdana" w:hAnsi="Verdana" w:cs="Arial"/>
        </w:rPr>
      </w:pPr>
    </w:p>
    <w:p w14:paraId="584842B3" w14:textId="5EB6CC09" w:rsidR="009C7E51" w:rsidRDefault="00647188" w:rsidP="009C7E51">
      <w:pPr>
        <w:spacing w:line="240" w:lineRule="auto"/>
        <w:jc w:val="both"/>
        <w:rPr>
          <w:rFonts w:ascii="Verdana" w:hAnsi="Verdana"/>
          <w:b/>
          <w:bCs/>
        </w:rPr>
      </w:pPr>
      <w:r w:rsidRPr="009C7E51">
        <w:rPr>
          <w:rFonts w:ascii="Verdana" w:hAnsi="Verdana" w:cs="Arial"/>
          <w:b/>
          <w:bCs/>
          <w:lang w:val="es-ES"/>
        </w:rPr>
        <w:t>COMPONENTES</w:t>
      </w:r>
      <w:r w:rsidRPr="009C7E51">
        <w:rPr>
          <w:rFonts w:ascii="Verdana" w:hAnsi="Verdana"/>
          <w:b/>
          <w:bCs/>
        </w:rPr>
        <w:t xml:space="preserve"> </w:t>
      </w:r>
    </w:p>
    <w:p w14:paraId="79E0D739" w14:textId="2DF1F669" w:rsidR="00CC5BFC" w:rsidRDefault="00CC5BFC" w:rsidP="00431B88">
      <w:pPr>
        <w:tabs>
          <w:tab w:val="left" w:pos="567"/>
        </w:tabs>
        <w:contextualSpacing/>
        <w:jc w:val="both"/>
        <w:rPr>
          <w:rFonts w:ascii="Verdana" w:hAnsi="Verdana" w:cs="Arial"/>
        </w:rPr>
      </w:pPr>
      <w:r>
        <w:rPr>
          <w:rFonts w:ascii="Verdana" w:hAnsi="Verdana" w:cs="Arial"/>
        </w:rPr>
        <w:t>1.5.12.</w:t>
      </w:r>
    </w:p>
    <w:p w14:paraId="7CA737E3" w14:textId="664579F5" w:rsidR="00CC5BFC" w:rsidRDefault="001F040C" w:rsidP="00431B88">
      <w:pPr>
        <w:tabs>
          <w:tab w:val="left" w:pos="567"/>
        </w:tabs>
        <w:contextualSpacing/>
        <w:jc w:val="both"/>
        <w:rPr>
          <w:rFonts w:ascii="Verdana" w:hAnsi="Verdana" w:cs="Arial"/>
          <w:lang w:val="es-ES"/>
        </w:rPr>
      </w:pPr>
      <w:r w:rsidRPr="001F040C">
        <w:rPr>
          <w:rFonts w:ascii="Verdana" w:hAnsi="Verdana" w:cs="Arial"/>
        </w:rPr>
        <w:t xml:space="preserve">Las </w:t>
      </w:r>
      <w:r w:rsidR="00510DB6">
        <w:rPr>
          <w:rFonts w:ascii="Verdana" w:hAnsi="Verdana" w:cs="Arial"/>
        </w:rPr>
        <w:t xml:space="preserve">entidades vigiladas </w:t>
      </w:r>
      <w:r w:rsidRPr="001F040C">
        <w:rPr>
          <w:rFonts w:ascii="Verdana" w:hAnsi="Verdana" w:cs="Arial"/>
        </w:rPr>
        <w:t xml:space="preserve">deberán gestionar el riesgo de conductas </w:t>
      </w:r>
      <w:r w:rsidR="002A003E">
        <w:rPr>
          <w:rFonts w:ascii="Verdana" w:hAnsi="Verdana" w:cs="Arial"/>
        </w:rPr>
        <w:t xml:space="preserve">de afectación al consumidor financiero </w:t>
      </w:r>
      <w:r w:rsidRPr="001F040C">
        <w:rPr>
          <w:rFonts w:ascii="Verdana" w:hAnsi="Verdana" w:cs="Arial"/>
        </w:rPr>
        <w:t xml:space="preserve">mediante los siguientes componentes mínimos: </w:t>
      </w:r>
      <w:r w:rsidR="00C70F33">
        <w:rPr>
          <w:rFonts w:ascii="Verdana" w:hAnsi="Verdana" w:cs="Arial"/>
        </w:rPr>
        <w:t xml:space="preserve">(i) </w:t>
      </w:r>
      <w:r w:rsidRPr="001F040C">
        <w:rPr>
          <w:rFonts w:ascii="Verdana" w:hAnsi="Verdana" w:cs="Arial"/>
        </w:rPr>
        <w:t xml:space="preserve">identificación, </w:t>
      </w:r>
      <w:r w:rsidR="00C70F33">
        <w:rPr>
          <w:rFonts w:ascii="Verdana" w:hAnsi="Verdana" w:cs="Arial"/>
        </w:rPr>
        <w:t>(</w:t>
      </w:r>
      <w:proofErr w:type="spellStart"/>
      <w:r w:rsidR="00C70F33">
        <w:rPr>
          <w:rFonts w:ascii="Verdana" w:hAnsi="Verdana" w:cs="Arial"/>
        </w:rPr>
        <w:t>ii</w:t>
      </w:r>
      <w:proofErr w:type="spellEnd"/>
      <w:r w:rsidR="00C70F33">
        <w:rPr>
          <w:rFonts w:ascii="Verdana" w:hAnsi="Verdana" w:cs="Arial"/>
        </w:rPr>
        <w:t xml:space="preserve">) </w:t>
      </w:r>
      <w:r w:rsidRPr="001F040C">
        <w:rPr>
          <w:rFonts w:ascii="Verdana" w:hAnsi="Verdana" w:cs="Arial"/>
        </w:rPr>
        <w:t>evaluación</w:t>
      </w:r>
      <w:r w:rsidR="00C70F33">
        <w:rPr>
          <w:rFonts w:ascii="Verdana" w:hAnsi="Verdana" w:cs="Arial"/>
        </w:rPr>
        <w:t xml:space="preserve"> y seguimiento</w:t>
      </w:r>
      <w:r w:rsidRPr="001F040C">
        <w:rPr>
          <w:rFonts w:ascii="Verdana" w:hAnsi="Verdana" w:cs="Arial"/>
        </w:rPr>
        <w:t xml:space="preserve">, </w:t>
      </w:r>
      <w:r w:rsidR="00C70F33">
        <w:rPr>
          <w:rFonts w:ascii="Verdana" w:hAnsi="Verdana" w:cs="Arial"/>
        </w:rPr>
        <w:t>(</w:t>
      </w:r>
      <w:proofErr w:type="spellStart"/>
      <w:r w:rsidR="00C70F33">
        <w:rPr>
          <w:rFonts w:ascii="Verdana" w:hAnsi="Verdana" w:cs="Arial"/>
        </w:rPr>
        <w:t>iii</w:t>
      </w:r>
      <w:proofErr w:type="spellEnd"/>
      <w:r w:rsidR="00C70F33">
        <w:rPr>
          <w:rFonts w:ascii="Verdana" w:hAnsi="Verdana" w:cs="Arial"/>
        </w:rPr>
        <w:t xml:space="preserve">) </w:t>
      </w:r>
      <w:r w:rsidR="0049336B">
        <w:rPr>
          <w:rFonts w:ascii="Verdana" w:hAnsi="Verdana" w:cs="Arial"/>
        </w:rPr>
        <w:t>control</w:t>
      </w:r>
      <w:r w:rsidRPr="001F040C">
        <w:rPr>
          <w:rFonts w:ascii="Verdana" w:hAnsi="Verdana" w:cs="Arial"/>
        </w:rPr>
        <w:t xml:space="preserve">, </w:t>
      </w:r>
      <w:r w:rsidR="00CB0354">
        <w:rPr>
          <w:rFonts w:ascii="Verdana" w:hAnsi="Verdana" w:cs="Arial"/>
        </w:rPr>
        <w:t>(</w:t>
      </w:r>
      <w:proofErr w:type="spellStart"/>
      <w:r w:rsidR="00CB0354">
        <w:rPr>
          <w:rFonts w:ascii="Verdana" w:hAnsi="Verdana" w:cs="Arial"/>
        </w:rPr>
        <w:t>iv</w:t>
      </w:r>
      <w:proofErr w:type="spellEnd"/>
      <w:r w:rsidR="00CB0354">
        <w:rPr>
          <w:rFonts w:ascii="Verdana" w:hAnsi="Verdana" w:cs="Arial"/>
        </w:rPr>
        <w:t xml:space="preserve">) </w:t>
      </w:r>
      <w:r w:rsidR="0095450E">
        <w:rPr>
          <w:rFonts w:ascii="Verdana" w:hAnsi="Verdana" w:cs="Arial"/>
        </w:rPr>
        <w:t xml:space="preserve">y </w:t>
      </w:r>
      <w:r w:rsidR="00CB0354">
        <w:rPr>
          <w:rFonts w:ascii="Verdana" w:hAnsi="Verdana" w:cs="Arial"/>
        </w:rPr>
        <w:t>monitoreo</w:t>
      </w:r>
      <w:r w:rsidR="0095450E">
        <w:rPr>
          <w:rFonts w:ascii="Verdana" w:hAnsi="Verdana" w:cs="Arial"/>
        </w:rPr>
        <w:t>.</w:t>
      </w:r>
    </w:p>
    <w:p w14:paraId="5696F023" w14:textId="77777777" w:rsidR="00CC5BFC" w:rsidRPr="00CC3937" w:rsidRDefault="00CC5BFC" w:rsidP="00431B88">
      <w:pPr>
        <w:tabs>
          <w:tab w:val="left" w:pos="567"/>
        </w:tabs>
        <w:contextualSpacing/>
        <w:jc w:val="both"/>
        <w:rPr>
          <w:rFonts w:ascii="Verdana" w:hAnsi="Verdana" w:cs="Arial"/>
        </w:rPr>
      </w:pPr>
    </w:p>
    <w:p w14:paraId="318F77CA" w14:textId="12649F66" w:rsidR="00CC5BFC" w:rsidRDefault="00954D69" w:rsidP="00CC5BFC">
      <w:pPr>
        <w:tabs>
          <w:tab w:val="left" w:pos="567"/>
        </w:tabs>
        <w:contextualSpacing/>
        <w:jc w:val="both"/>
        <w:rPr>
          <w:rFonts w:ascii="Verdana" w:hAnsi="Verdana" w:cs="Arial"/>
          <w:lang w:val="es-ES"/>
        </w:rPr>
      </w:pPr>
      <w:r w:rsidRPr="00A46363">
        <w:rPr>
          <w:rFonts w:ascii="Verdana" w:hAnsi="Verdana" w:cs="Arial"/>
          <w:b/>
          <w:bCs/>
          <w:lang w:val="es-ES"/>
        </w:rPr>
        <w:t xml:space="preserve">Identificación </w:t>
      </w:r>
    </w:p>
    <w:p w14:paraId="08B8ECDC" w14:textId="77777777" w:rsidR="00CC5BFC" w:rsidRDefault="00CC5BFC" w:rsidP="00CC5BFC">
      <w:pPr>
        <w:tabs>
          <w:tab w:val="left" w:pos="567"/>
        </w:tabs>
        <w:contextualSpacing/>
        <w:jc w:val="both"/>
        <w:rPr>
          <w:rFonts w:ascii="Verdana" w:hAnsi="Verdana" w:cs="Arial"/>
          <w:lang w:val="es-ES"/>
        </w:rPr>
      </w:pPr>
    </w:p>
    <w:p w14:paraId="5C67CCC6" w14:textId="28B23872" w:rsidR="00CC5BFC" w:rsidRDefault="00CC5BFC" w:rsidP="00CC5BFC">
      <w:pPr>
        <w:tabs>
          <w:tab w:val="left" w:pos="567"/>
        </w:tabs>
        <w:contextualSpacing/>
        <w:jc w:val="both"/>
        <w:rPr>
          <w:rFonts w:ascii="Verdana" w:hAnsi="Verdana" w:cs="Arial"/>
          <w:lang w:val="es-ES"/>
        </w:rPr>
      </w:pPr>
      <w:r>
        <w:rPr>
          <w:rFonts w:ascii="Verdana" w:hAnsi="Verdana" w:cs="Arial"/>
          <w:lang w:val="es-ES"/>
        </w:rPr>
        <w:t>1.5.13.</w:t>
      </w:r>
    </w:p>
    <w:p w14:paraId="3513AE59" w14:textId="2E85F8E7" w:rsidR="00F650DB" w:rsidRPr="00A46363" w:rsidRDefault="00954D69" w:rsidP="00A46363">
      <w:pPr>
        <w:tabs>
          <w:tab w:val="left" w:pos="567"/>
        </w:tabs>
        <w:contextualSpacing/>
        <w:jc w:val="both"/>
        <w:rPr>
          <w:rFonts w:ascii="Verdana" w:hAnsi="Verdana" w:cs="Arial"/>
        </w:rPr>
      </w:pPr>
      <w:r w:rsidRPr="00A46363">
        <w:rPr>
          <w:rFonts w:ascii="Verdana" w:hAnsi="Verdana" w:cs="Arial"/>
        </w:rPr>
        <w:t xml:space="preserve">Las </w:t>
      </w:r>
      <w:r w:rsidR="00C42872">
        <w:rPr>
          <w:rFonts w:ascii="Verdana" w:hAnsi="Verdana" w:cs="Arial"/>
        </w:rPr>
        <w:t xml:space="preserve">entidades </w:t>
      </w:r>
      <w:proofErr w:type="gramStart"/>
      <w:r w:rsidR="00C42872">
        <w:rPr>
          <w:rFonts w:ascii="Verdana" w:hAnsi="Verdana" w:cs="Arial"/>
        </w:rPr>
        <w:t>vigiladas</w:t>
      </w:r>
      <w:r w:rsidR="00C42872" w:rsidRPr="00C42872" w:rsidDel="00C42872">
        <w:rPr>
          <w:rFonts w:ascii="Verdana" w:hAnsi="Verdana" w:cs="Arial"/>
        </w:rPr>
        <w:t xml:space="preserve"> </w:t>
      </w:r>
      <w:r w:rsidRPr="00A46363">
        <w:rPr>
          <w:rFonts w:ascii="Verdana" w:hAnsi="Verdana" w:cs="Arial"/>
        </w:rPr>
        <w:t xml:space="preserve"> deben</w:t>
      </w:r>
      <w:proofErr w:type="gramEnd"/>
      <w:r w:rsidRPr="00A46363">
        <w:rPr>
          <w:rFonts w:ascii="Verdana" w:hAnsi="Verdana" w:cs="Arial"/>
        </w:rPr>
        <w:t xml:space="preserve"> identificar las conductas que puedan generar daño a los consumidores financieros y afectar la transparencia e integridad del mercado. Dentro de </w:t>
      </w:r>
      <w:r w:rsidR="00B86729" w:rsidRPr="002E5330">
        <w:rPr>
          <w:rFonts w:ascii="Verdana" w:hAnsi="Verdana" w:cs="Arial"/>
        </w:rPr>
        <w:t xml:space="preserve">estas conductas y </w:t>
      </w:r>
      <w:r w:rsidRPr="00A46363">
        <w:rPr>
          <w:rFonts w:ascii="Verdana" w:hAnsi="Verdana" w:cs="Arial"/>
        </w:rPr>
        <w:t>afectaciones, se encuentran, entre otras, las siguientes:</w:t>
      </w:r>
    </w:p>
    <w:p w14:paraId="4E1A9A4F" w14:textId="3836B066" w:rsidR="00D04F8F" w:rsidRPr="00A46363" w:rsidRDefault="00954D69" w:rsidP="00A46363">
      <w:pPr>
        <w:pStyle w:val="Prrafodelista"/>
        <w:numPr>
          <w:ilvl w:val="0"/>
          <w:numId w:val="44"/>
        </w:numPr>
        <w:ind w:left="567" w:hanging="567"/>
        <w:jc w:val="both"/>
        <w:rPr>
          <w:rFonts w:ascii="Verdana" w:hAnsi="Verdana" w:cs="Arial"/>
        </w:rPr>
      </w:pPr>
      <w:r w:rsidRPr="00A46363">
        <w:rPr>
          <w:rFonts w:ascii="Verdana" w:hAnsi="Verdana" w:cs="Arial"/>
        </w:rPr>
        <w:t xml:space="preserve">Incumplimiento </w:t>
      </w:r>
      <w:r w:rsidR="00453567" w:rsidRPr="002E5330">
        <w:rPr>
          <w:rFonts w:ascii="Verdana" w:hAnsi="Verdana" w:cs="Arial"/>
        </w:rPr>
        <w:t>material de</w:t>
      </w:r>
      <w:r w:rsidRPr="00A46363">
        <w:rPr>
          <w:rFonts w:ascii="Verdana" w:hAnsi="Verdana" w:cs="Arial"/>
        </w:rPr>
        <w:t xml:space="preserve"> la oferta de valor: </w:t>
      </w:r>
      <w:r w:rsidR="00676BDF" w:rsidRPr="002E5330">
        <w:rPr>
          <w:rFonts w:ascii="Verdana" w:hAnsi="Verdana" w:cs="Arial"/>
        </w:rPr>
        <w:t xml:space="preserve">Corresponde a situaciones en las </w:t>
      </w:r>
      <w:r w:rsidR="00400AC0" w:rsidRPr="002E5330">
        <w:rPr>
          <w:rFonts w:ascii="Verdana" w:hAnsi="Verdana" w:cs="Arial"/>
        </w:rPr>
        <w:t xml:space="preserve">cuales </w:t>
      </w:r>
      <w:r w:rsidR="00676BDF" w:rsidRPr="002E5330">
        <w:rPr>
          <w:rFonts w:ascii="Verdana" w:hAnsi="Verdana" w:cs="Arial"/>
        </w:rPr>
        <w:t>l</w:t>
      </w:r>
      <w:r w:rsidRPr="00A46363">
        <w:rPr>
          <w:rFonts w:ascii="Verdana" w:hAnsi="Verdana" w:cs="Arial"/>
        </w:rPr>
        <w:t>os consumidores financieros no reciben</w:t>
      </w:r>
      <w:r w:rsidR="007E61F5" w:rsidRPr="002E5330">
        <w:rPr>
          <w:rFonts w:ascii="Verdana" w:hAnsi="Verdana" w:cs="Arial"/>
        </w:rPr>
        <w:t xml:space="preserve">, de forma objetiva y </w:t>
      </w:r>
      <w:r w:rsidR="0032658A" w:rsidRPr="002E5330">
        <w:rPr>
          <w:rFonts w:ascii="Verdana" w:hAnsi="Verdana" w:cs="Arial"/>
        </w:rPr>
        <w:t>verificable,</w:t>
      </w:r>
      <w:r w:rsidR="000F57DF" w:rsidRPr="002E5330">
        <w:rPr>
          <w:rFonts w:ascii="Verdana" w:hAnsi="Verdana" w:cs="Arial"/>
        </w:rPr>
        <w:t xml:space="preserve"> </w:t>
      </w:r>
      <w:r w:rsidRPr="00A46363">
        <w:rPr>
          <w:rFonts w:ascii="Verdana" w:hAnsi="Verdana" w:cs="Arial"/>
        </w:rPr>
        <w:t xml:space="preserve">lo prometido en la oferta de valor realizada por la </w:t>
      </w:r>
      <w:r w:rsidR="007E61F5" w:rsidRPr="002E5330">
        <w:rPr>
          <w:rFonts w:ascii="Verdana" w:hAnsi="Verdana" w:cs="Arial"/>
        </w:rPr>
        <w:t>entidad vigilada</w:t>
      </w:r>
      <w:r w:rsidR="009C3F82" w:rsidRPr="002E5330">
        <w:rPr>
          <w:rFonts w:ascii="Verdana" w:hAnsi="Verdana" w:cs="Arial"/>
        </w:rPr>
        <w:t>, generando una insatisfacción material del consumidor</w:t>
      </w:r>
      <w:r w:rsidRPr="00A46363">
        <w:rPr>
          <w:rFonts w:ascii="Verdana" w:hAnsi="Verdana" w:cs="Arial"/>
        </w:rPr>
        <w:t>.</w:t>
      </w:r>
      <w:r w:rsidR="009438A5" w:rsidRPr="00A46363">
        <w:rPr>
          <w:rFonts w:ascii="Verdana" w:hAnsi="Verdana" w:cs="Arial"/>
        </w:rPr>
        <w:t xml:space="preserve"> </w:t>
      </w:r>
      <w:r w:rsidR="0032658A" w:rsidRPr="002E5330">
        <w:rPr>
          <w:rFonts w:ascii="Verdana" w:hAnsi="Verdana" w:cs="Arial"/>
        </w:rPr>
        <w:t>En consecuencia, l</w:t>
      </w:r>
      <w:r w:rsidRPr="00A46363">
        <w:rPr>
          <w:rFonts w:ascii="Verdana" w:hAnsi="Verdana" w:cs="Arial"/>
        </w:rPr>
        <w:t xml:space="preserve">as EV deben identificar y gestionar los riesgos asociados a la insatisfacción o percepción negativa de los consumidores financieros durante la ejecución de los contratos. </w:t>
      </w:r>
    </w:p>
    <w:p w14:paraId="0EC03467" w14:textId="77777777" w:rsidR="00D04F8F" w:rsidRPr="002E5330" w:rsidRDefault="00D04F8F" w:rsidP="00A46363">
      <w:pPr>
        <w:pStyle w:val="Prrafodelista"/>
        <w:rPr>
          <w:lang w:val="es-ES"/>
        </w:rPr>
      </w:pPr>
    </w:p>
    <w:p w14:paraId="19CF9CE0" w14:textId="4D258AF9" w:rsidR="006E7149" w:rsidRPr="00A46363" w:rsidRDefault="00147830" w:rsidP="00A46363">
      <w:pPr>
        <w:pStyle w:val="Prrafodelista"/>
        <w:numPr>
          <w:ilvl w:val="0"/>
          <w:numId w:val="44"/>
        </w:numPr>
        <w:ind w:left="567" w:hanging="567"/>
        <w:jc w:val="both"/>
        <w:rPr>
          <w:rFonts w:ascii="Verdana" w:hAnsi="Verdana" w:cs="Arial"/>
        </w:rPr>
      </w:pPr>
      <w:r w:rsidRPr="00A46363">
        <w:rPr>
          <w:rFonts w:ascii="Verdana" w:hAnsi="Verdana" w:cs="Arial"/>
        </w:rPr>
        <w:t xml:space="preserve">Pérdida económica: </w:t>
      </w:r>
      <w:r w:rsidR="00400AC0" w:rsidRPr="002E5330">
        <w:rPr>
          <w:rFonts w:ascii="Verdana" w:hAnsi="Verdana" w:cs="Arial"/>
        </w:rPr>
        <w:t>Corresponde</w:t>
      </w:r>
      <w:r w:rsidR="00400AC0">
        <w:rPr>
          <w:rFonts w:ascii="Verdana" w:hAnsi="Verdana" w:cs="Arial"/>
        </w:rPr>
        <w:t xml:space="preserve"> a situaciones donde se evidencia un d</w:t>
      </w:r>
      <w:r w:rsidRPr="00A46363">
        <w:rPr>
          <w:rFonts w:ascii="Verdana" w:hAnsi="Verdana" w:cs="Arial"/>
        </w:rPr>
        <w:t>etrimento financiero causado</w:t>
      </w:r>
      <w:r w:rsidR="001A3A39">
        <w:rPr>
          <w:rFonts w:ascii="Verdana" w:hAnsi="Verdana" w:cs="Arial"/>
        </w:rPr>
        <w:t>,</w:t>
      </w:r>
      <w:r w:rsidRPr="00A46363">
        <w:rPr>
          <w:rFonts w:ascii="Verdana" w:hAnsi="Verdana" w:cs="Arial"/>
        </w:rPr>
        <w:t xml:space="preserve"> o que </w:t>
      </w:r>
      <w:r w:rsidR="007441B8" w:rsidRPr="00A46363">
        <w:rPr>
          <w:rFonts w:ascii="Verdana" w:hAnsi="Verdana" w:cs="Arial"/>
        </w:rPr>
        <w:t>pueda causarse</w:t>
      </w:r>
      <w:r w:rsidR="001A3A39">
        <w:rPr>
          <w:rFonts w:ascii="Verdana" w:hAnsi="Verdana" w:cs="Arial"/>
        </w:rPr>
        <w:t>,</w:t>
      </w:r>
      <w:r w:rsidR="00103276" w:rsidRPr="00A46363">
        <w:rPr>
          <w:rFonts w:ascii="Verdana" w:hAnsi="Verdana" w:cs="Arial"/>
        </w:rPr>
        <w:t xml:space="preserve"> </w:t>
      </w:r>
      <w:r w:rsidRPr="00A46363">
        <w:rPr>
          <w:rFonts w:ascii="Verdana" w:hAnsi="Verdana" w:cs="Arial"/>
        </w:rPr>
        <w:t xml:space="preserve">a los consumidores financieros por omisiones en el deber de información y/o asesoría, </w:t>
      </w:r>
      <w:r w:rsidR="007441B8" w:rsidRPr="00A46363">
        <w:rPr>
          <w:rFonts w:ascii="Verdana" w:hAnsi="Verdana" w:cs="Arial"/>
        </w:rPr>
        <w:t xml:space="preserve">fallas de la </w:t>
      </w:r>
      <w:r w:rsidR="001E1F99">
        <w:rPr>
          <w:rFonts w:ascii="Verdana" w:hAnsi="Verdana" w:cs="Arial"/>
        </w:rPr>
        <w:t>entidad vigilada</w:t>
      </w:r>
      <w:r w:rsidR="007441B8" w:rsidRPr="00A46363">
        <w:rPr>
          <w:rFonts w:ascii="Verdana" w:hAnsi="Verdana" w:cs="Arial"/>
        </w:rPr>
        <w:t xml:space="preserve"> en la ejecución de procesos asociados</w:t>
      </w:r>
      <w:r w:rsidR="00103276" w:rsidRPr="00A46363">
        <w:rPr>
          <w:rFonts w:ascii="Verdana" w:hAnsi="Verdana" w:cs="Arial"/>
        </w:rPr>
        <w:t xml:space="preserve"> </w:t>
      </w:r>
      <w:r w:rsidRPr="00A46363">
        <w:rPr>
          <w:rFonts w:ascii="Verdana" w:hAnsi="Verdana" w:cs="Arial"/>
        </w:rPr>
        <w:t xml:space="preserve">a los productos o </w:t>
      </w:r>
      <w:r w:rsidRPr="00A46363">
        <w:rPr>
          <w:rFonts w:ascii="Verdana" w:hAnsi="Verdana" w:cs="Arial"/>
        </w:rPr>
        <w:lastRenderedPageBreak/>
        <w:t xml:space="preserve">servicios, incumplimientos contractuales, ofrecimiento de productos o servicios no autorizados a la </w:t>
      </w:r>
      <w:r w:rsidR="001E1F99">
        <w:rPr>
          <w:rFonts w:ascii="Verdana" w:hAnsi="Verdana" w:cs="Arial"/>
        </w:rPr>
        <w:t>entidad vigilada,</w:t>
      </w:r>
      <w:r w:rsidRPr="00A46363">
        <w:rPr>
          <w:rFonts w:ascii="Verdana" w:hAnsi="Verdana" w:cs="Arial"/>
        </w:rPr>
        <w:t xml:space="preserve"> cobros no autorizados,</w:t>
      </w:r>
      <w:r w:rsidR="001E1F99">
        <w:rPr>
          <w:rFonts w:ascii="Verdana" w:hAnsi="Verdana" w:cs="Arial"/>
        </w:rPr>
        <w:t xml:space="preserve"> </w:t>
      </w:r>
      <w:r w:rsidRPr="00A46363">
        <w:rPr>
          <w:rFonts w:ascii="Verdana" w:hAnsi="Verdana" w:cs="Arial"/>
        </w:rPr>
        <w:t>errores en la ejecución de operaciones, y cualquier otra conducta que cause un perjuicio económico al consumidor financiero.</w:t>
      </w:r>
    </w:p>
    <w:p w14:paraId="0B39EBFF" w14:textId="1C0D3930" w:rsidR="003B3B2C" w:rsidRDefault="00316691" w:rsidP="00A46363">
      <w:pPr>
        <w:pStyle w:val="Prrafodelista"/>
        <w:ind w:left="567"/>
        <w:jc w:val="both"/>
        <w:rPr>
          <w:rFonts w:ascii="Verdana" w:hAnsi="Verdana" w:cs="Arial"/>
        </w:rPr>
      </w:pPr>
      <w:r w:rsidRPr="00A46363">
        <w:rPr>
          <w:rFonts w:ascii="Verdana" w:hAnsi="Verdana" w:cs="Arial"/>
        </w:rPr>
        <w:t xml:space="preserve"> </w:t>
      </w:r>
    </w:p>
    <w:p w14:paraId="0722C116" w14:textId="610FA667" w:rsidR="004B1748" w:rsidRPr="00112375" w:rsidRDefault="003B3B2C" w:rsidP="004B1748">
      <w:pPr>
        <w:pStyle w:val="Prrafodelista"/>
        <w:numPr>
          <w:ilvl w:val="0"/>
          <w:numId w:val="44"/>
        </w:numPr>
        <w:ind w:left="567" w:hanging="567"/>
        <w:jc w:val="both"/>
        <w:rPr>
          <w:rFonts w:ascii="Verdana" w:hAnsi="Verdana" w:cs="Arial"/>
        </w:rPr>
      </w:pPr>
      <w:r>
        <w:rPr>
          <w:rFonts w:ascii="Verdana" w:hAnsi="Verdana" w:cs="Arial"/>
        </w:rPr>
        <w:t xml:space="preserve">Prestación </w:t>
      </w:r>
      <w:r w:rsidR="00316691" w:rsidRPr="00A46363">
        <w:rPr>
          <w:rFonts w:ascii="Verdana" w:hAnsi="Verdana" w:cs="Arial"/>
        </w:rPr>
        <w:t>del servicio</w:t>
      </w:r>
      <w:r w:rsidR="00427724">
        <w:rPr>
          <w:rFonts w:ascii="Verdana" w:hAnsi="Verdana" w:cs="Arial"/>
        </w:rPr>
        <w:t xml:space="preserve"> en condiciones de baja calidad</w:t>
      </w:r>
      <w:r w:rsidR="00316691" w:rsidRPr="00A46363">
        <w:rPr>
          <w:rFonts w:ascii="Verdana" w:hAnsi="Verdana" w:cs="Arial"/>
        </w:rPr>
        <w:t xml:space="preserve">: Se refiere a los efectos negativos no financieros </w:t>
      </w:r>
      <w:r w:rsidR="007D16BF">
        <w:rPr>
          <w:rFonts w:ascii="Verdana" w:hAnsi="Verdana" w:cs="Arial"/>
        </w:rPr>
        <w:t xml:space="preserve">que percibe el consumidor financiero, y que son </w:t>
      </w:r>
      <w:r w:rsidR="00316691" w:rsidRPr="00A46363">
        <w:rPr>
          <w:rFonts w:ascii="Verdana" w:hAnsi="Verdana" w:cs="Arial"/>
        </w:rPr>
        <w:t xml:space="preserve">atribuibles a la </w:t>
      </w:r>
      <w:r w:rsidR="008D745C">
        <w:rPr>
          <w:rFonts w:ascii="Verdana" w:hAnsi="Verdana" w:cs="Arial"/>
        </w:rPr>
        <w:t>entidad vigilada</w:t>
      </w:r>
      <w:r w:rsidR="00316691" w:rsidRPr="00A46363">
        <w:rPr>
          <w:rFonts w:ascii="Verdana" w:hAnsi="Verdana" w:cs="Arial"/>
        </w:rPr>
        <w:t xml:space="preserve">, </w:t>
      </w:r>
      <w:r w:rsidR="00526F20">
        <w:rPr>
          <w:rFonts w:ascii="Verdana" w:hAnsi="Verdana" w:cs="Arial"/>
        </w:rPr>
        <w:t>tale</w:t>
      </w:r>
      <w:r w:rsidR="007147FC">
        <w:rPr>
          <w:rFonts w:ascii="Verdana" w:hAnsi="Verdana" w:cs="Arial"/>
        </w:rPr>
        <w:t>s</w:t>
      </w:r>
      <w:r w:rsidR="00526F20">
        <w:rPr>
          <w:rFonts w:ascii="Verdana" w:hAnsi="Verdana" w:cs="Arial"/>
        </w:rPr>
        <w:t xml:space="preserve"> como </w:t>
      </w:r>
      <w:r w:rsidR="00316691" w:rsidRPr="00A46363">
        <w:rPr>
          <w:rFonts w:ascii="Verdana" w:hAnsi="Verdana" w:cs="Arial"/>
        </w:rPr>
        <w:t xml:space="preserve">fallas reiteradas o significativas en los canales de atención, demoras injustificadas, barreras indebidas para realizar trámites o presentar quejas, y otras deficiencias operativas atribuibles a la </w:t>
      </w:r>
      <w:r w:rsidR="007147FC">
        <w:rPr>
          <w:rFonts w:ascii="Verdana" w:hAnsi="Verdana" w:cs="Arial"/>
        </w:rPr>
        <w:t>entidades vigiladas</w:t>
      </w:r>
      <w:r w:rsidR="00316691" w:rsidRPr="00A46363">
        <w:rPr>
          <w:rFonts w:ascii="Verdana" w:hAnsi="Verdana" w:cs="Arial"/>
        </w:rPr>
        <w:t xml:space="preserve"> que excedan situaciones aisladas o propias de la operación ordinaria</w:t>
      </w:r>
      <w:r w:rsidR="007147FC" w:rsidRPr="007147FC">
        <w:rPr>
          <w:rFonts w:ascii="Verdana" w:hAnsi="Verdana" w:cs="Arial"/>
        </w:rPr>
        <w:t xml:space="preserve"> </w:t>
      </w:r>
      <w:r w:rsidR="007147FC">
        <w:rPr>
          <w:rFonts w:ascii="Verdana" w:hAnsi="Verdana" w:cs="Arial"/>
        </w:rPr>
        <w:t xml:space="preserve">y </w:t>
      </w:r>
      <w:r w:rsidR="007147FC" w:rsidRPr="00112375">
        <w:rPr>
          <w:rFonts w:ascii="Verdana" w:hAnsi="Verdana" w:cs="Arial"/>
        </w:rPr>
        <w:t xml:space="preserve"> afecten de manera relevante el acceso efectivo del consumidor financiero, el trato justo o la transparencia en la prestación del servicio.</w:t>
      </w:r>
    </w:p>
    <w:p w14:paraId="5B560FF4" w14:textId="77777777" w:rsidR="004B1748" w:rsidRDefault="004B1748" w:rsidP="004B1748">
      <w:pPr>
        <w:pStyle w:val="Prrafodelista"/>
        <w:ind w:left="567"/>
        <w:jc w:val="both"/>
        <w:rPr>
          <w:rFonts w:ascii="Verdana" w:hAnsi="Verdana" w:cs="Arial"/>
        </w:rPr>
      </w:pPr>
      <w:r w:rsidRPr="00112375">
        <w:rPr>
          <w:rFonts w:ascii="Verdana" w:hAnsi="Verdana" w:cs="Arial"/>
        </w:rPr>
        <w:t xml:space="preserve"> </w:t>
      </w:r>
    </w:p>
    <w:p w14:paraId="285B4DE7" w14:textId="574BE894" w:rsidR="0021723B" w:rsidRPr="00112375" w:rsidRDefault="004B1748" w:rsidP="0021723B">
      <w:pPr>
        <w:pStyle w:val="Prrafodelista"/>
        <w:numPr>
          <w:ilvl w:val="0"/>
          <w:numId w:val="44"/>
        </w:numPr>
        <w:ind w:left="567" w:hanging="567"/>
        <w:jc w:val="both"/>
        <w:rPr>
          <w:rFonts w:ascii="Verdana" w:hAnsi="Verdana" w:cs="Arial"/>
        </w:rPr>
      </w:pPr>
      <w:r w:rsidRPr="004B1748">
        <w:rPr>
          <w:rFonts w:ascii="Verdana" w:hAnsi="Verdana" w:cs="Arial"/>
        </w:rPr>
        <w:t xml:space="preserve">Afectación a la integridad y transparencia del mercado: </w:t>
      </w:r>
      <w:r w:rsidR="00B86729">
        <w:rPr>
          <w:rFonts w:ascii="Verdana" w:hAnsi="Verdana" w:cs="Arial"/>
        </w:rPr>
        <w:t>Corresponde a la m</w:t>
      </w:r>
      <w:r w:rsidRPr="004B1748">
        <w:rPr>
          <w:rFonts w:ascii="Verdana" w:hAnsi="Verdana" w:cs="Arial"/>
        </w:rPr>
        <w:t xml:space="preserve">aterialización de conductas que afecten la integridad y transparencia de los mercados </w:t>
      </w:r>
      <w:r w:rsidR="00AB0D75">
        <w:rPr>
          <w:rFonts w:ascii="Verdana" w:hAnsi="Verdana" w:cs="Arial"/>
        </w:rPr>
        <w:t>en los que opera la entidad</w:t>
      </w:r>
      <w:r w:rsidRPr="004B1748">
        <w:rPr>
          <w:rFonts w:ascii="Verdana" w:hAnsi="Verdana" w:cs="Arial"/>
        </w:rPr>
        <w:t>.</w:t>
      </w:r>
      <w:r w:rsidR="0021723B" w:rsidRPr="0021723B">
        <w:rPr>
          <w:rFonts w:ascii="Verdana" w:hAnsi="Verdana" w:cs="Arial"/>
        </w:rPr>
        <w:t xml:space="preserve"> </w:t>
      </w:r>
    </w:p>
    <w:p w14:paraId="51C87254" w14:textId="77777777" w:rsidR="0021723B" w:rsidRDefault="0021723B" w:rsidP="0021723B">
      <w:pPr>
        <w:pStyle w:val="Prrafodelista"/>
        <w:ind w:left="567"/>
        <w:jc w:val="both"/>
        <w:rPr>
          <w:rFonts w:ascii="Verdana" w:hAnsi="Verdana" w:cs="Arial"/>
        </w:rPr>
      </w:pPr>
      <w:r w:rsidRPr="00112375">
        <w:rPr>
          <w:rFonts w:ascii="Verdana" w:hAnsi="Verdana" w:cs="Arial"/>
        </w:rPr>
        <w:t xml:space="preserve"> </w:t>
      </w:r>
    </w:p>
    <w:p w14:paraId="2D0E7740" w14:textId="0421E7EB" w:rsidR="00F17DBA" w:rsidRPr="00A46363" w:rsidRDefault="0021723B" w:rsidP="00A46363">
      <w:pPr>
        <w:pStyle w:val="Prrafodelista"/>
        <w:numPr>
          <w:ilvl w:val="0"/>
          <w:numId w:val="44"/>
        </w:numPr>
        <w:ind w:left="567" w:hanging="567"/>
        <w:jc w:val="both"/>
        <w:rPr>
          <w:rFonts w:ascii="Verdana" w:hAnsi="Verdana" w:cs="Arial"/>
        </w:rPr>
      </w:pPr>
      <w:r w:rsidRPr="00112375">
        <w:rPr>
          <w:rFonts w:ascii="Verdana" w:hAnsi="Verdana" w:cs="Arial"/>
          <w:lang w:val="es-ES"/>
        </w:rPr>
        <w:t xml:space="preserve">Barreras postventa y acceso efectivo a los derechos: </w:t>
      </w:r>
      <w:r w:rsidR="00992A50">
        <w:rPr>
          <w:rFonts w:ascii="Verdana" w:hAnsi="Verdana" w:cs="Arial"/>
        </w:rPr>
        <w:t xml:space="preserve">Se refiere a las </w:t>
      </w:r>
      <w:r w:rsidRPr="00112375">
        <w:rPr>
          <w:rFonts w:ascii="Verdana" w:hAnsi="Verdana" w:cs="Arial"/>
        </w:rPr>
        <w:t xml:space="preserve">conductas que </w:t>
      </w:r>
      <w:r w:rsidR="00E0219B">
        <w:rPr>
          <w:rFonts w:ascii="Verdana" w:hAnsi="Verdana" w:cs="Arial"/>
        </w:rPr>
        <w:t>impliquen</w:t>
      </w:r>
      <w:r w:rsidRPr="00112375">
        <w:rPr>
          <w:rFonts w:ascii="Verdana" w:hAnsi="Verdana" w:cs="Arial"/>
        </w:rPr>
        <w:t xml:space="preserve"> la existencia de barreras en la etapa postventa que obstaculicen el acceso efectivo al ejercicio de los derechos del consumidor financiero. Dichas barreras incluyen, entre otras, condiciones innecesariamente complejas para cancelar productos o servicios, dificultades en la presentación de peticiones, quejas o reclamos por falta de claridad en los procesos, o cualquier otro obstáculo que afecte el acceso efectivo a los derechos del consumidor</w:t>
      </w:r>
      <w:r w:rsidR="00082012">
        <w:rPr>
          <w:rFonts w:ascii="Verdana" w:hAnsi="Verdana" w:cs="Arial"/>
        </w:rPr>
        <w:t>.</w:t>
      </w:r>
    </w:p>
    <w:p w14:paraId="324F746E" w14:textId="77777777" w:rsidR="00C471D6" w:rsidRDefault="00C471D6" w:rsidP="00A46363">
      <w:pPr>
        <w:tabs>
          <w:tab w:val="left" w:pos="567"/>
        </w:tabs>
        <w:spacing w:line="240" w:lineRule="auto"/>
        <w:jc w:val="both"/>
        <w:rPr>
          <w:rFonts w:ascii="Verdana" w:hAnsi="Verdana" w:cs="Arial"/>
          <w:lang w:val="es-ES"/>
        </w:rPr>
      </w:pPr>
      <w:r w:rsidRPr="00A46363">
        <w:rPr>
          <w:rFonts w:ascii="Verdana" w:hAnsi="Verdana" w:cs="Arial"/>
          <w:lang w:val="es-ES"/>
        </w:rPr>
        <w:t>1.5.14.</w:t>
      </w:r>
    </w:p>
    <w:p w14:paraId="28B1646B" w14:textId="4A815879" w:rsidR="00C0203D" w:rsidRPr="007D2DDE" w:rsidRDefault="00C471D6" w:rsidP="00C0203D">
      <w:pPr>
        <w:spacing w:after="0" w:line="240" w:lineRule="auto"/>
        <w:jc w:val="both"/>
        <w:rPr>
          <w:rFonts w:ascii="Verdana" w:hAnsi="Verdana"/>
        </w:rPr>
      </w:pPr>
      <w:r w:rsidRPr="00A46363">
        <w:rPr>
          <w:rFonts w:ascii="Verdana" w:hAnsi="Verdana" w:cs="Arial"/>
          <w:lang w:val="es-ES"/>
        </w:rPr>
        <w:t>No toda falla operativa, tecnológica, contractual o de servicio constituye automáticamente un evento de riesgo de conductas. Para que sea relevante bajo el GERCO debe existir una conexión con una conducta, práctica, decisión, omisión, incentivo, deficiencia de gobierno, falla de control o patrón recurrente que pueda afectar al consumidor financiero, la integridad y transparencia del mercado</w:t>
      </w:r>
      <w:r w:rsidR="00C0203D" w:rsidRPr="003928EA">
        <w:rPr>
          <w:rFonts w:ascii="Verdana" w:hAnsi="Verdana" w:cs="Arial"/>
        </w:rPr>
        <w:t>.</w:t>
      </w:r>
    </w:p>
    <w:p w14:paraId="38662F11" w14:textId="77777777" w:rsidR="00C0203D" w:rsidRPr="00CC3937" w:rsidRDefault="00C0203D" w:rsidP="00C0203D">
      <w:pPr>
        <w:spacing w:after="0" w:line="240" w:lineRule="auto"/>
        <w:jc w:val="both"/>
        <w:rPr>
          <w:rFonts w:ascii="Verdana" w:hAnsi="Verdana" w:cs="Arial"/>
          <w:b/>
          <w:bCs/>
        </w:rPr>
      </w:pPr>
    </w:p>
    <w:p w14:paraId="71F9FCB5" w14:textId="2070D1B3" w:rsidR="00DD1193" w:rsidRDefault="00EA50F7" w:rsidP="00CA5584">
      <w:pPr>
        <w:spacing w:line="240" w:lineRule="auto"/>
        <w:jc w:val="both"/>
        <w:rPr>
          <w:rFonts w:ascii="Verdana" w:hAnsi="Verdana" w:cs="Arial"/>
          <w:lang w:val="es-ES"/>
        </w:rPr>
      </w:pPr>
      <w:r w:rsidRPr="00A46363">
        <w:rPr>
          <w:rFonts w:ascii="Verdana" w:hAnsi="Verdana" w:cs="Arial"/>
          <w:b/>
          <w:bCs/>
          <w:lang w:val="es-ES"/>
        </w:rPr>
        <w:t xml:space="preserve">Evaluación </w:t>
      </w:r>
      <w:r w:rsidR="00543901" w:rsidRPr="00A46363">
        <w:rPr>
          <w:rFonts w:ascii="Verdana" w:hAnsi="Verdana" w:cs="Arial"/>
          <w:b/>
          <w:bCs/>
          <w:lang w:val="es-ES"/>
        </w:rPr>
        <w:t>y seguimiento</w:t>
      </w:r>
    </w:p>
    <w:p w14:paraId="56E2F33B" w14:textId="6E38103A" w:rsidR="006302BB" w:rsidRDefault="00DD1193" w:rsidP="00DD1193">
      <w:pPr>
        <w:tabs>
          <w:tab w:val="left" w:pos="567"/>
        </w:tabs>
        <w:contextualSpacing/>
        <w:jc w:val="both"/>
        <w:rPr>
          <w:rFonts w:ascii="Verdana" w:hAnsi="Verdana" w:cs="Arial"/>
          <w:lang w:val="es-ES"/>
        </w:rPr>
      </w:pPr>
      <w:r>
        <w:rPr>
          <w:rFonts w:ascii="Verdana" w:hAnsi="Verdana" w:cs="Arial"/>
          <w:lang w:val="es-ES"/>
        </w:rPr>
        <w:t>1.5.1</w:t>
      </w:r>
      <w:r w:rsidR="00C0203D">
        <w:rPr>
          <w:rFonts w:ascii="Verdana" w:hAnsi="Verdana" w:cs="Arial"/>
          <w:lang w:val="es-ES"/>
        </w:rPr>
        <w:t>5</w:t>
      </w:r>
      <w:r>
        <w:rPr>
          <w:rFonts w:ascii="Verdana" w:hAnsi="Verdana" w:cs="Arial"/>
          <w:lang w:val="es-ES"/>
        </w:rPr>
        <w:t>.</w:t>
      </w:r>
    </w:p>
    <w:p w14:paraId="44384339" w14:textId="0D6E11EB" w:rsidR="006302BB" w:rsidRDefault="00543901" w:rsidP="00DD1193">
      <w:pPr>
        <w:spacing w:line="240" w:lineRule="auto"/>
        <w:jc w:val="both"/>
        <w:rPr>
          <w:rFonts w:ascii="Verdana" w:hAnsi="Verdana" w:cs="Arial"/>
        </w:rPr>
      </w:pPr>
      <w:r>
        <w:rPr>
          <w:rFonts w:ascii="Verdana" w:hAnsi="Verdana" w:cs="Arial"/>
          <w:lang w:val="es-ES"/>
        </w:rPr>
        <w:t xml:space="preserve">Las entidades vigiladas </w:t>
      </w:r>
      <w:r w:rsidR="006302BB" w:rsidRPr="00A46363">
        <w:rPr>
          <w:rFonts w:ascii="Verdana" w:hAnsi="Verdana" w:cs="Arial"/>
        </w:rPr>
        <w:t>deben contar con mecanismos de seguimiento que permitan evaluar la experiencia del consumidor con base en criterios verificables, como el cumplimiento de lo ofrecido, la calidad del servicio, la atención en los canales dispuestos y el trato recibido. La medición de la satisfacción no debe basarse únicamente en opiniones aisladas, sino en información que permita identificar tendencias y adoptar acciones correctivas.</w:t>
      </w:r>
    </w:p>
    <w:p w14:paraId="59AEB1F2" w14:textId="770719E8" w:rsidR="00723BF8" w:rsidRDefault="00723BF8" w:rsidP="00723BF8">
      <w:pPr>
        <w:tabs>
          <w:tab w:val="left" w:pos="567"/>
        </w:tabs>
        <w:contextualSpacing/>
        <w:jc w:val="both"/>
        <w:rPr>
          <w:rFonts w:ascii="Verdana" w:hAnsi="Verdana" w:cs="Arial"/>
          <w:lang w:val="es-ES"/>
        </w:rPr>
      </w:pPr>
      <w:r>
        <w:rPr>
          <w:rFonts w:ascii="Verdana" w:hAnsi="Verdana" w:cs="Arial"/>
          <w:lang w:val="es-ES"/>
        </w:rPr>
        <w:t>1.5.16.</w:t>
      </w:r>
    </w:p>
    <w:p w14:paraId="5C247E10" w14:textId="062E9037" w:rsidR="0057212D" w:rsidRDefault="00543901" w:rsidP="00B50701">
      <w:pPr>
        <w:tabs>
          <w:tab w:val="left" w:pos="567"/>
        </w:tabs>
        <w:contextualSpacing/>
        <w:jc w:val="both"/>
        <w:rPr>
          <w:rFonts w:ascii="Verdana" w:eastAsia="Arial" w:hAnsi="Verdana" w:cs="Arial"/>
        </w:rPr>
      </w:pPr>
      <w:r>
        <w:rPr>
          <w:rFonts w:ascii="Verdana" w:hAnsi="Verdana" w:cs="Arial"/>
        </w:rPr>
        <w:t xml:space="preserve">Adicionalmente, </w:t>
      </w:r>
      <w:r w:rsidR="002E7010">
        <w:rPr>
          <w:rFonts w:ascii="Verdana" w:hAnsi="Verdana" w:cs="Arial"/>
        </w:rPr>
        <w:t>l</w:t>
      </w:r>
      <w:r w:rsidR="002E7010" w:rsidRPr="00112375">
        <w:rPr>
          <w:rFonts w:ascii="Verdana" w:eastAsia="Arial" w:hAnsi="Verdana" w:cs="Arial"/>
        </w:rPr>
        <w:t xml:space="preserve">as </w:t>
      </w:r>
      <w:r w:rsidR="002E7010">
        <w:rPr>
          <w:rFonts w:ascii="Verdana" w:eastAsia="Arial" w:hAnsi="Verdana" w:cs="Arial"/>
        </w:rPr>
        <w:t>entidades vigiladas</w:t>
      </w:r>
      <w:r w:rsidR="002E7010" w:rsidRPr="00112375">
        <w:rPr>
          <w:rFonts w:ascii="Verdana" w:eastAsia="Arial" w:hAnsi="Verdana" w:cs="Arial"/>
        </w:rPr>
        <w:t xml:space="preserve"> deben mantener un registro interno de los eventos de riesgo de conductas materializados y de su </w:t>
      </w:r>
      <w:r w:rsidR="002E7010">
        <w:rPr>
          <w:rFonts w:ascii="Verdana" w:eastAsia="Arial" w:hAnsi="Verdana" w:cs="Arial"/>
        </w:rPr>
        <w:t xml:space="preserve">correspondiente </w:t>
      </w:r>
      <w:r w:rsidR="002E7010" w:rsidRPr="00112375">
        <w:rPr>
          <w:rFonts w:ascii="Verdana" w:eastAsia="Arial" w:hAnsi="Verdana" w:cs="Arial"/>
        </w:rPr>
        <w:t>gestión</w:t>
      </w:r>
      <w:r w:rsidR="00AC04F9">
        <w:rPr>
          <w:rFonts w:ascii="Verdana" w:eastAsia="Arial" w:hAnsi="Verdana" w:cs="Arial"/>
        </w:rPr>
        <w:t>, de acuerdo con la infraestructura de registro que defina cada entidad</w:t>
      </w:r>
      <w:r w:rsidR="002E7010">
        <w:rPr>
          <w:rFonts w:ascii="Verdana" w:eastAsia="Arial" w:hAnsi="Verdana" w:cs="Arial"/>
        </w:rPr>
        <w:t xml:space="preserve">. </w:t>
      </w:r>
    </w:p>
    <w:p w14:paraId="52BF1D1D" w14:textId="77777777" w:rsidR="0057212D" w:rsidRDefault="0057212D" w:rsidP="00B50701">
      <w:pPr>
        <w:tabs>
          <w:tab w:val="left" w:pos="567"/>
        </w:tabs>
        <w:contextualSpacing/>
        <w:jc w:val="both"/>
        <w:rPr>
          <w:rFonts w:ascii="Verdana" w:eastAsia="Arial" w:hAnsi="Verdana" w:cs="Arial"/>
        </w:rPr>
      </w:pPr>
    </w:p>
    <w:p w14:paraId="516A9F1B" w14:textId="5DC822F4" w:rsidR="0057212D" w:rsidRDefault="0057212D" w:rsidP="0057212D">
      <w:pPr>
        <w:tabs>
          <w:tab w:val="left" w:pos="567"/>
        </w:tabs>
        <w:contextualSpacing/>
        <w:jc w:val="both"/>
        <w:rPr>
          <w:rFonts w:ascii="Verdana" w:hAnsi="Verdana" w:cs="Arial"/>
          <w:lang w:val="es-ES"/>
        </w:rPr>
      </w:pPr>
      <w:r>
        <w:rPr>
          <w:rFonts w:ascii="Verdana" w:hAnsi="Verdana" w:cs="Arial"/>
          <w:lang w:val="es-ES"/>
        </w:rPr>
        <w:t>1.5.17.</w:t>
      </w:r>
    </w:p>
    <w:p w14:paraId="53C2F5B7" w14:textId="5E8B8D9B" w:rsidR="00174EEC" w:rsidRDefault="0057212D" w:rsidP="00B50701">
      <w:pPr>
        <w:tabs>
          <w:tab w:val="left" w:pos="567"/>
        </w:tabs>
        <w:contextualSpacing/>
        <w:jc w:val="both"/>
        <w:rPr>
          <w:rFonts w:ascii="Verdana" w:eastAsia="Arial" w:hAnsi="Verdana" w:cs="Arial"/>
        </w:rPr>
      </w:pPr>
      <w:r w:rsidRPr="00112375">
        <w:rPr>
          <w:rFonts w:ascii="Verdana" w:eastAsia="Arial" w:hAnsi="Verdana" w:cs="Arial"/>
        </w:rPr>
        <w:t xml:space="preserve">Para estos efectos, </w:t>
      </w:r>
      <w:r>
        <w:rPr>
          <w:rFonts w:ascii="Verdana" w:eastAsia="Arial" w:hAnsi="Verdana" w:cs="Arial"/>
        </w:rPr>
        <w:t xml:space="preserve">las entidades deben </w:t>
      </w:r>
      <w:r w:rsidRPr="00112375">
        <w:rPr>
          <w:rFonts w:ascii="Verdana" w:eastAsia="Arial" w:hAnsi="Verdana" w:cs="Arial"/>
        </w:rPr>
        <w:t>definir lineamientos básicos de clasificación y análisis de dichos eventos, considerando aspectos como</w:t>
      </w:r>
      <w:r>
        <w:rPr>
          <w:rFonts w:ascii="Verdana" w:eastAsia="Arial" w:hAnsi="Verdana" w:cs="Arial"/>
        </w:rPr>
        <w:t xml:space="preserve"> el</w:t>
      </w:r>
      <w:r w:rsidRPr="00112375">
        <w:rPr>
          <w:rFonts w:ascii="Verdana" w:eastAsia="Arial" w:hAnsi="Verdana" w:cs="Arial"/>
        </w:rPr>
        <w:t xml:space="preserve"> tipo de afectación, causa raíz e impacto. Estos lineamientos deberán ser consistentes y</w:t>
      </w:r>
      <w:r w:rsidR="00174EEC">
        <w:rPr>
          <w:rFonts w:ascii="Verdana" w:eastAsia="Arial" w:hAnsi="Verdana" w:cs="Arial"/>
        </w:rPr>
        <w:t xml:space="preserve"> flexibles</w:t>
      </w:r>
      <w:r w:rsidRPr="00112375">
        <w:rPr>
          <w:rFonts w:ascii="Verdana" w:eastAsia="Arial" w:hAnsi="Verdana" w:cs="Arial"/>
        </w:rPr>
        <w:t xml:space="preserve">, sin constituir una taxonomía rígida, y podrán incorporar criterios internos acordes con el modelo de negocio, perfil de riesgo y nivel de madurez de cada entidad. </w:t>
      </w:r>
    </w:p>
    <w:p w14:paraId="1D5DCFC1" w14:textId="77777777" w:rsidR="00323C1A" w:rsidRDefault="00323C1A" w:rsidP="00B50701">
      <w:pPr>
        <w:tabs>
          <w:tab w:val="left" w:pos="567"/>
        </w:tabs>
        <w:contextualSpacing/>
        <w:jc w:val="both"/>
        <w:rPr>
          <w:rFonts w:ascii="Verdana" w:eastAsia="Arial" w:hAnsi="Verdana" w:cs="Arial"/>
        </w:rPr>
      </w:pPr>
    </w:p>
    <w:p w14:paraId="5436A0FE" w14:textId="77777777" w:rsidR="007903D1" w:rsidRDefault="007903D1" w:rsidP="00B50701">
      <w:pPr>
        <w:tabs>
          <w:tab w:val="left" w:pos="567"/>
        </w:tabs>
        <w:contextualSpacing/>
        <w:jc w:val="both"/>
        <w:rPr>
          <w:rFonts w:ascii="Verdana" w:eastAsia="Arial" w:hAnsi="Verdana" w:cs="Arial"/>
        </w:rPr>
      </w:pPr>
    </w:p>
    <w:p w14:paraId="54C7F6C2" w14:textId="77777777" w:rsidR="007903D1" w:rsidRDefault="007903D1" w:rsidP="00B50701">
      <w:pPr>
        <w:tabs>
          <w:tab w:val="left" w:pos="567"/>
        </w:tabs>
        <w:contextualSpacing/>
        <w:jc w:val="both"/>
        <w:rPr>
          <w:rFonts w:ascii="Verdana" w:eastAsia="Arial" w:hAnsi="Verdana" w:cs="Arial"/>
        </w:rPr>
      </w:pPr>
    </w:p>
    <w:p w14:paraId="616CD625" w14:textId="1194CE06" w:rsidR="00174EEC" w:rsidRDefault="00174EEC" w:rsidP="00174EEC">
      <w:pPr>
        <w:tabs>
          <w:tab w:val="left" w:pos="567"/>
        </w:tabs>
        <w:contextualSpacing/>
        <w:jc w:val="both"/>
        <w:rPr>
          <w:rFonts w:ascii="Verdana" w:hAnsi="Verdana" w:cs="Arial"/>
          <w:lang w:val="es-ES"/>
        </w:rPr>
      </w:pPr>
      <w:r>
        <w:rPr>
          <w:rFonts w:ascii="Verdana" w:hAnsi="Verdana" w:cs="Arial"/>
          <w:lang w:val="es-ES"/>
        </w:rPr>
        <w:lastRenderedPageBreak/>
        <w:t>1.5.1</w:t>
      </w:r>
      <w:r w:rsidR="00654959">
        <w:rPr>
          <w:rFonts w:ascii="Verdana" w:hAnsi="Verdana" w:cs="Arial"/>
          <w:lang w:val="es-ES"/>
        </w:rPr>
        <w:t>8</w:t>
      </w:r>
      <w:r>
        <w:rPr>
          <w:rFonts w:ascii="Verdana" w:hAnsi="Verdana" w:cs="Arial"/>
          <w:lang w:val="es-ES"/>
        </w:rPr>
        <w:t>.</w:t>
      </w:r>
    </w:p>
    <w:p w14:paraId="36CDD0EF" w14:textId="0EC565FF" w:rsidR="00543901" w:rsidRDefault="00174EEC" w:rsidP="00B50701">
      <w:pPr>
        <w:tabs>
          <w:tab w:val="left" w:pos="567"/>
        </w:tabs>
        <w:contextualSpacing/>
        <w:jc w:val="both"/>
        <w:rPr>
          <w:rFonts w:ascii="Verdana" w:eastAsia="Arial" w:hAnsi="Verdana" w:cs="Arial"/>
        </w:rPr>
      </w:pPr>
      <w:r>
        <w:rPr>
          <w:rFonts w:ascii="Verdana" w:eastAsia="Arial" w:hAnsi="Verdana" w:cs="Arial"/>
        </w:rPr>
        <w:t xml:space="preserve">El </w:t>
      </w:r>
      <w:r w:rsidR="002E7010">
        <w:rPr>
          <w:rFonts w:ascii="Verdana" w:eastAsia="Arial" w:hAnsi="Verdana" w:cs="Arial"/>
        </w:rPr>
        <w:t xml:space="preserve">registro </w:t>
      </w:r>
      <w:r>
        <w:rPr>
          <w:rFonts w:ascii="Verdana" w:eastAsia="Arial" w:hAnsi="Verdana" w:cs="Arial"/>
        </w:rPr>
        <w:t xml:space="preserve">de riesgos de conductas </w:t>
      </w:r>
      <w:r w:rsidR="002E7010" w:rsidRPr="00112375">
        <w:rPr>
          <w:rFonts w:ascii="Verdana" w:eastAsia="Arial" w:hAnsi="Verdana" w:cs="Arial"/>
        </w:rPr>
        <w:t>debe estar disponible para la Superintendencia Financiera de Colombia</w:t>
      </w:r>
      <w:r w:rsidR="002E7010">
        <w:rPr>
          <w:rFonts w:ascii="Verdana" w:eastAsia="Arial" w:hAnsi="Verdana" w:cs="Arial"/>
        </w:rPr>
        <w:t>,</w:t>
      </w:r>
      <w:r w:rsidR="002E7010" w:rsidRPr="00112375">
        <w:rPr>
          <w:rFonts w:ascii="Verdana" w:eastAsia="Arial" w:hAnsi="Verdana" w:cs="Arial"/>
        </w:rPr>
        <w:t xml:space="preserve"> cuando esta lo solicite. </w:t>
      </w:r>
    </w:p>
    <w:p w14:paraId="57270DEE" w14:textId="77777777" w:rsidR="00B50701" w:rsidRPr="00A46363" w:rsidRDefault="00B50701" w:rsidP="00A46363">
      <w:pPr>
        <w:tabs>
          <w:tab w:val="left" w:pos="567"/>
        </w:tabs>
        <w:contextualSpacing/>
        <w:jc w:val="both"/>
        <w:rPr>
          <w:rFonts w:ascii="Verdana" w:eastAsia="Arial" w:hAnsi="Verdana" w:cs="Arial"/>
        </w:rPr>
      </w:pPr>
    </w:p>
    <w:p w14:paraId="4ABF36C7" w14:textId="13085729" w:rsidR="00D25BD4" w:rsidRDefault="00D25BD4" w:rsidP="00D25BD4">
      <w:pPr>
        <w:tabs>
          <w:tab w:val="left" w:pos="567"/>
        </w:tabs>
        <w:contextualSpacing/>
        <w:jc w:val="both"/>
        <w:rPr>
          <w:rFonts w:ascii="Verdana" w:eastAsia="Arial" w:hAnsi="Verdana" w:cs="Arial"/>
        </w:rPr>
      </w:pPr>
      <w:r>
        <w:rPr>
          <w:rFonts w:ascii="Verdana" w:hAnsi="Verdana" w:cs="Arial"/>
          <w:lang w:val="es-ES"/>
        </w:rPr>
        <w:t>1.5.</w:t>
      </w:r>
      <w:r w:rsidR="006265E6">
        <w:rPr>
          <w:rFonts w:ascii="Verdana" w:hAnsi="Verdana" w:cs="Arial"/>
          <w:lang w:val="es-ES"/>
        </w:rPr>
        <w:t>1</w:t>
      </w:r>
      <w:r w:rsidR="00654959">
        <w:rPr>
          <w:rFonts w:ascii="Verdana" w:hAnsi="Verdana" w:cs="Arial"/>
          <w:lang w:val="es-ES"/>
        </w:rPr>
        <w:t>9</w:t>
      </w:r>
      <w:r>
        <w:rPr>
          <w:rFonts w:ascii="Verdana" w:eastAsia="Arial" w:hAnsi="Verdana" w:cs="Arial"/>
        </w:rPr>
        <w:t xml:space="preserve">. </w:t>
      </w:r>
    </w:p>
    <w:p w14:paraId="7072E0DC" w14:textId="2713C44B" w:rsidR="00D25BD4" w:rsidRDefault="00B50701" w:rsidP="00654959">
      <w:pPr>
        <w:tabs>
          <w:tab w:val="left" w:pos="567"/>
        </w:tabs>
        <w:contextualSpacing/>
        <w:jc w:val="both"/>
        <w:rPr>
          <w:rFonts w:ascii="Verdana" w:eastAsia="Arial" w:hAnsi="Verdana" w:cs="Arial"/>
        </w:rPr>
      </w:pPr>
      <w:r>
        <w:rPr>
          <w:rFonts w:ascii="Verdana" w:hAnsi="Verdana" w:cs="Arial"/>
        </w:rPr>
        <w:t xml:space="preserve">A partir de la información del registro de que trata el párrafo 1.5.16., </w:t>
      </w:r>
      <w:r w:rsidR="002E7010">
        <w:rPr>
          <w:rFonts w:ascii="Verdana" w:hAnsi="Verdana" w:cs="Arial"/>
        </w:rPr>
        <w:t xml:space="preserve">las entidades vigiladas deben evaluar </w:t>
      </w:r>
      <w:r w:rsidR="002E7010" w:rsidRPr="00112375">
        <w:rPr>
          <w:rFonts w:ascii="Verdana" w:hAnsi="Verdana" w:cs="Arial"/>
          <w:lang w:val="es-ES"/>
        </w:rPr>
        <w:t xml:space="preserve">el impacto de cada riesgo de conducta, en caso de su materialización, clasificándolos según su nivel de criticidad. </w:t>
      </w:r>
      <w:r w:rsidR="002E7010" w:rsidRPr="00112375">
        <w:rPr>
          <w:rFonts w:ascii="Verdana" w:hAnsi="Verdana" w:cs="Arial"/>
        </w:rPr>
        <w:t xml:space="preserve">Para estos efectos, </w:t>
      </w:r>
      <w:r w:rsidR="002E7010">
        <w:rPr>
          <w:rFonts w:ascii="Verdana" w:hAnsi="Verdana" w:cs="Arial"/>
        </w:rPr>
        <w:t xml:space="preserve">se deben establecer </w:t>
      </w:r>
      <w:r w:rsidR="002E7010" w:rsidRPr="00112375">
        <w:rPr>
          <w:rFonts w:ascii="Verdana" w:hAnsi="Verdana" w:cs="Arial"/>
        </w:rPr>
        <w:t xml:space="preserve">metodologías de </w:t>
      </w:r>
      <w:r w:rsidR="002E7010">
        <w:rPr>
          <w:rFonts w:ascii="Verdana" w:hAnsi="Verdana" w:cs="Arial"/>
        </w:rPr>
        <w:t xml:space="preserve">clasificación acordes con los productos y servicios ofrecidos, considerando </w:t>
      </w:r>
      <w:r w:rsidR="002E7010" w:rsidRPr="00112375">
        <w:rPr>
          <w:rFonts w:ascii="Verdana" w:hAnsi="Verdana" w:cs="Arial"/>
        </w:rPr>
        <w:t>información histórica, tendencias</w:t>
      </w:r>
      <w:r w:rsidR="002E7010">
        <w:rPr>
          <w:rFonts w:ascii="Verdana" w:hAnsi="Verdana" w:cs="Arial"/>
        </w:rPr>
        <w:t xml:space="preserve"> </w:t>
      </w:r>
      <w:r w:rsidR="002E7010" w:rsidRPr="00112375">
        <w:rPr>
          <w:rFonts w:ascii="Verdana" w:hAnsi="Verdana" w:cs="Arial"/>
        </w:rPr>
        <w:t>y eventos identificados</w:t>
      </w:r>
      <w:r w:rsidR="002E7010">
        <w:rPr>
          <w:rFonts w:ascii="Verdana" w:hAnsi="Verdana" w:cs="Arial"/>
        </w:rPr>
        <w:t>, entre otros</w:t>
      </w:r>
      <w:r w:rsidR="002E7010" w:rsidRPr="00112375">
        <w:rPr>
          <w:rFonts w:ascii="Verdana" w:hAnsi="Verdana" w:cs="Arial"/>
        </w:rPr>
        <w:t>.</w:t>
      </w:r>
      <w:r w:rsidR="00D25BD4" w:rsidRPr="00112375">
        <w:rPr>
          <w:rFonts w:ascii="Verdana" w:eastAsia="Arial" w:hAnsi="Verdana" w:cs="Arial"/>
        </w:rPr>
        <w:t xml:space="preserve"> </w:t>
      </w:r>
    </w:p>
    <w:p w14:paraId="76AF082B" w14:textId="77777777" w:rsidR="00654959" w:rsidRPr="00A46363" w:rsidRDefault="00654959" w:rsidP="00A46363">
      <w:pPr>
        <w:tabs>
          <w:tab w:val="left" w:pos="567"/>
        </w:tabs>
        <w:contextualSpacing/>
        <w:jc w:val="both"/>
        <w:rPr>
          <w:rFonts w:ascii="Verdana" w:eastAsia="Arial" w:hAnsi="Verdana" w:cs="Arial"/>
        </w:rPr>
      </w:pPr>
    </w:p>
    <w:p w14:paraId="7A743D5D" w14:textId="2224962E" w:rsidR="00F8286C" w:rsidRDefault="00F8286C" w:rsidP="00F8286C">
      <w:pPr>
        <w:tabs>
          <w:tab w:val="left" w:pos="567"/>
        </w:tabs>
        <w:contextualSpacing/>
        <w:jc w:val="both"/>
        <w:rPr>
          <w:rFonts w:ascii="Verdana" w:hAnsi="Verdana" w:cs="Arial"/>
          <w:lang w:val="es-ES"/>
        </w:rPr>
      </w:pPr>
      <w:r>
        <w:rPr>
          <w:rFonts w:ascii="Verdana" w:hAnsi="Verdana" w:cs="Arial"/>
          <w:lang w:val="es-ES"/>
        </w:rPr>
        <w:t>1.5.</w:t>
      </w:r>
      <w:r w:rsidR="00B0094C">
        <w:rPr>
          <w:rFonts w:ascii="Verdana" w:hAnsi="Verdana" w:cs="Arial"/>
          <w:lang w:val="es-ES"/>
        </w:rPr>
        <w:t>20</w:t>
      </w:r>
      <w:r>
        <w:rPr>
          <w:rFonts w:ascii="Verdana" w:hAnsi="Verdana" w:cs="Arial"/>
          <w:lang w:val="es-ES"/>
        </w:rPr>
        <w:t>.</w:t>
      </w:r>
    </w:p>
    <w:p w14:paraId="4EE27689" w14:textId="76A21F53" w:rsidR="00F8286C" w:rsidRDefault="00F8286C" w:rsidP="00543901">
      <w:pPr>
        <w:spacing w:line="240" w:lineRule="auto"/>
        <w:jc w:val="both"/>
        <w:rPr>
          <w:rFonts w:ascii="Verdana" w:hAnsi="Verdana" w:cs="Arial"/>
        </w:rPr>
      </w:pPr>
      <w:r w:rsidRPr="00112375">
        <w:rPr>
          <w:rFonts w:ascii="Verdana" w:hAnsi="Verdana" w:cs="Arial"/>
        </w:rPr>
        <w:t>Para la recepción, identificación, escalamiento y gestión de información relevante asociada al riesgo de conductas, las entidades podrán apoyarse en los canales de comunicación previstos en la regulación vigente, en particular los establecidos en el numeral 3.4.1.4 del Capítulo IV, Título I, Parte I de la Circular Básica Jurídica, sin que ello implique la creación de un canal independiente, paralelo o exclusivo para el GERCO.</w:t>
      </w:r>
    </w:p>
    <w:p w14:paraId="72D03689" w14:textId="04C09524" w:rsidR="00C70F33" w:rsidRPr="00A46363" w:rsidRDefault="00683269" w:rsidP="00ED3EEE">
      <w:pPr>
        <w:spacing w:line="240" w:lineRule="auto"/>
        <w:jc w:val="both"/>
        <w:rPr>
          <w:rFonts w:ascii="Verdana" w:hAnsi="Verdana" w:cs="Arial"/>
          <w:b/>
          <w:bCs/>
        </w:rPr>
      </w:pPr>
      <w:r w:rsidRPr="00A46363">
        <w:rPr>
          <w:rFonts w:ascii="Verdana" w:hAnsi="Verdana" w:cs="Arial"/>
          <w:b/>
          <w:bCs/>
        </w:rPr>
        <w:t xml:space="preserve">Control </w:t>
      </w:r>
    </w:p>
    <w:p w14:paraId="5EBBDC19" w14:textId="6B262EC3" w:rsidR="00C70F33" w:rsidRDefault="00C70F33" w:rsidP="00C70F33">
      <w:pPr>
        <w:tabs>
          <w:tab w:val="left" w:pos="567"/>
        </w:tabs>
        <w:contextualSpacing/>
        <w:jc w:val="both"/>
        <w:rPr>
          <w:rFonts w:ascii="Verdana" w:hAnsi="Verdana" w:cs="Arial"/>
          <w:lang w:val="es-ES"/>
        </w:rPr>
      </w:pPr>
      <w:r>
        <w:rPr>
          <w:rFonts w:ascii="Verdana" w:hAnsi="Verdana" w:cs="Arial"/>
          <w:lang w:val="es-ES"/>
        </w:rPr>
        <w:t>1.5.</w:t>
      </w:r>
      <w:r w:rsidR="009A2543">
        <w:rPr>
          <w:rFonts w:ascii="Verdana" w:hAnsi="Verdana" w:cs="Arial"/>
          <w:lang w:val="es-ES"/>
        </w:rPr>
        <w:t>21</w:t>
      </w:r>
      <w:r>
        <w:rPr>
          <w:rFonts w:ascii="Verdana" w:hAnsi="Verdana" w:cs="Arial"/>
          <w:lang w:val="es-ES"/>
        </w:rPr>
        <w:t>.</w:t>
      </w:r>
    </w:p>
    <w:p w14:paraId="742BEC18" w14:textId="66851C45" w:rsidR="005F7BED" w:rsidRDefault="00C70F33" w:rsidP="00C70F33">
      <w:pPr>
        <w:spacing w:line="240" w:lineRule="auto"/>
        <w:jc w:val="both"/>
        <w:rPr>
          <w:rFonts w:ascii="Verdana" w:hAnsi="Verdana" w:cs="Arial"/>
        </w:rPr>
      </w:pPr>
      <w:r>
        <w:rPr>
          <w:rFonts w:ascii="Verdana" w:hAnsi="Verdana" w:cs="Arial"/>
          <w:lang w:val="es-ES"/>
        </w:rPr>
        <w:t xml:space="preserve">Las entidades vigiladas </w:t>
      </w:r>
      <w:r w:rsidR="00683269" w:rsidRPr="00A46363">
        <w:rPr>
          <w:rFonts w:ascii="Verdana" w:hAnsi="Verdana" w:cs="Arial"/>
        </w:rPr>
        <w:t>deben adoptar políticas</w:t>
      </w:r>
      <w:r w:rsidR="008B63CE">
        <w:rPr>
          <w:rFonts w:ascii="Verdana" w:hAnsi="Verdana" w:cs="Arial"/>
        </w:rPr>
        <w:t xml:space="preserve"> y</w:t>
      </w:r>
      <w:r w:rsidR="00683269" w:rsidRPr="00A46363">
        <w:rPr>
          <w:rFonts w:ascii="Verdana" w:hAnsi="Verdana" w:cs="Arial"/>
        </w:rPr>
        <w:t xml:space="preserve"> procedimientos para mitigar los riesgos de conductas identificados, con el fin de disminuir la probabilidad de ocurrencia y/o su impacto en caso de materialización. </w:t>
      </w:r>
    </w:p>
    <w:p w14:paraId="5DB30451" w14:textId="2B58B23A" w:rsidR="005F7BED" w:rsidRDefault="005F7BED" w:rsidP="005F7BED">
      <w:pPr>
        <w:tabs>
          <w:tab w:val="left" w:pos="567"/>
        </w:tabs>
        <w:contextualSpacing/>
        <w:jc w:val="both"/>
        <w:rPr>
          <w:rFonts w:ascii="Verdana" w:hAnsi="Verdana" w:cs="Arial"/>
          <w:lang w:val="es-ES"/>
        </w:rPr>
      </w:pPr>
      <w:r>
        <w:rPr>
          <w:rFonts w:ascii="Verdana" w:hAnsi="Verdana" w:cs="Arial"/>
          <w:lang w:val="es-ES"/>
        </w:rPr>
        <w:t>1.5.</w:t>
      </w:r>
      <w:r w:rsidR="009A2543">
        <w:rPr>
          <w:rFonts w:ascii="Verdana" w:hAnsi="Verdana" w:cs="Arial"/>
          <w:lang w:val="es-ES"/>
        </w:rPr>
        <w:t>22</w:t>
      </w:r>
      <w:r>
        <w:rPr>
          <w:rFonts w:ascii="Verdana" w:hAnsi="Verdana" w:cs="Arial"/>
          <w:lang w:val="es-ES"/>
        </w:rPr>
        <w:t>.</w:t>
      </w:r>
    </w:p>
    <w:p w14:paraId="141CCAC8" w14:textId="11AD9F9D" w:rsidR="004D4C0C" w:rsidRPr="00A46363" w:rsidRDefault="00683269" w:rsidP="00A46363">
      <w:pPr>
        <w:spacing w:line="240" w:lineRule="auto"/>
        <w:jc w:val="both"/>
        <w:rPr>
          <w:rFonts w:ascii="Verdana" w:hAnsi="Verdana" w:cs="Arial"/>
        </w:rPr>
      </w:pPr>
      <w:r w:rsidRPr="00A46363">
        <w:rPr>
          <w:rFonts w:ascii="Verdana" w:hAnsi="Verdana" w:cs="Arial"/>
        </w:rPr>
        <w:t xml:space="preserve">Los controles del GERCO deberán articularse con los esquemas de control interno existentes, tales como mapas de riesgos, auditorías internas y demás instrumentos de gestión, respetando su autonomía y evitando duplicidades. </w:t>
      </w:r>
    </w:p>
    <w:p w14:paraId="0305FFA7" w14:textId="6A1A6ACA" w:rsidR="008A5A1F" w:rsidRDefault="00AD2017" w:rsidP="008A5A1F">
      <w:pPr>
        <w:spacing w:line="240" w:lineRule="auto"/>
        <w:jc w:val="both"/>
        <w:rPr>
          <w:rFonts w:ascii="Verdana" w:hAnsi="Verdana" w:cs="Arial"/>
          <w:lang w:val="es-ES"/>
        </w:rPr>
      </w:pPr>
      <w:r w:rsidRPr="00A46363">
        <w:rPr>
          <w:rFonts w:ascii="Verdana" w:hAnsi="Verdana" w:cs="Arial"/>
          <w:b/>
          <w:bCs/>
          <w:lang w:val="es-ES"/>
        </w:rPr>
        <w:t>Monitoreo</w:t>
      </w:r>
    </w:p>
    <w:p w14:paraId="7830898B" w14:textId="0C72E461" w:rsidR="008A5A1F" w:rsidRDefault="008A5A1F" w:rsidP="008A5A1F">
      <w:pPr>
        <w:tabs>
          <w:tab w:val="left" w:pos="567"/>
        </w:tabs>
        <w:contextualSpacing/>
        <w:jc w:val="both"/>
        <w:rPr>
          <w:rFonts w:ascii="Verdana" w:hAnsi="Verdana" w:cs="Arial"/>
          <w:lang w:val="es-ES"/>
        </w:rPr>
      </w:pPr>
      <w:r>
        <w:rPr>
          <w:rFonts w:ascii="Verdana" w:hAnsi="Verdana" w:cs="Arial"/>
          <w:lang w:val="es-ES"/>
        </w:rPr>
        <w:t>1.5.2</w:t>
      </w:r>
      <w:r w:rsidR="009A2543">
        <w:rPr>
          <w:rFonts w:ascii="Verdana" w:hAnsi="Verdana" w:cs="Arial"/>
          <w:lang w:val="es-ES"/>
        </w:rPr>
        <w:t>3</w:t>
      </w:r>
      <w:r>
        <w:rPr>
          <w:rFonts w:ascii="Verdana" w:hAnsi="Verdana" w:cs="Arial"/>
          <w:lang w:val="es-ES"/>
        </w:rPr>
        <w:t>.</w:t>
      </w:r>
    </w:p>
    <w:p w14:paraId="76C0EA47" w14:textId="2AC45863" w:rsidR="006C2C66" w:rsidRDefault="008A5A1F" w:rsidP="008A5A1F">
      <w:pPr>
        <w:spacing w:line="240" w:lineRule="auto"/>
        <w:jc w:val="both"/>
        <w:rPr>
          <w:rFonts w:ascii="Verdana" w:hAnsi="Verdana" w:cs="Arial"/>
        </w:rPr>
      </w:pPr>
      <w:r>
        <w:rPr>
          <w:rFonts w:ascii="Verdana" w:hAnsi="Verdana" w:cs="Arial"/>
          <w:lang w:val="es-ES"/>
        </w:rPr>
        <w:t>Las</w:t>
      </w:r>
      <w:r w:rsidR="003B57C8" w:rsidRPr="00A46363">
        <w:rPr>
          <w:rFonts w:ascii="Verdana" w:hAnsi="Verdana" w:cs="Arial"/>
        </w:rPr>
        <w:t xml:space="preserve"> </w:t>
      </w:r>
      <w:r w:rsidR="00695906">
        <w:rPr>
          <w:rFonts w:ascii="Verdana" w:hAnsi="Verdana" w:cs="Arial"/>
          <w:lang w:val="es-ES"/>
        </w:rPr>
        <w:t>entidades vigiladas</w:t>
      </w:r>
      <w:r w:rsidR="003B57C8" w:rsidRPr="00A46363">
        <w:rPr>
          <w:rFonts w:ascii="Verdana" w:hAnsi="Verdana" w:cs="Arial"/>
        </w:rPr>
        <w:t xml:space="preserve"> deben realizar un seguimiento periódico al funcionamiento del </w:t>
      </w:r>
      <w:r w:rsidR="009268D7" w:rsidRPr="00A46363">
        <w:rPr>
          <w:rFonts w:ascii="Verdana" w:hAnsi="Verdana" w:cs="Arial"/>
        </w:rPr>
        <w:t>GE</w:t>
      </w:r>
      <w:r w:rsidR="003B57C8" w:rsidRPr="00A46363">
        <w:rPr>
          <w:rFonts w:ascii="Verdana" w:hAnsi="Verdana" w:cs="Arial"/>
        </w:rPr>
        <w:t xml:space="preserve">RCO y a los riesgos </w:t>
      </w:r>
      <w:r w:rsidR="000D5724" w:rsidRPr="00A46363">
        <w:rPr>
          <w:rFonts w:ascii="Verdana" w:hAnsi="Verdana" w:cs="Arial"/>
        </w:rPr>
        <w:t>de</w:t>
      </w:r>
      <w:r w:rsidR="003B57C8" w:rsidRPr="00A46363">
        <w:rPr>
          <w:rFonts w:ascii="Verdana" w:hAnsi="Verdana" w:cs="Arial"/>
        </w:rPr>
        <w:t xml:space="preserve"> conductas identificad</w:t>
      </w:r>
      <w:r w:rsidR="001F3EF7" w:rsidRPr="00A46363">
        <w:rPr>
          <w:rFonts w:ascii="Verdana" w:hAnsi="Verdana" w:cs="Arial"/>
        </w:rPr>
        <w:t>os</w:t>
      </w:r>
      <w:r w:rsidR="003B57C8" w:rsidRPr="00A46363">
        <w:rPr>
          <w:rFonts w:ascii="Verdana" w:hAnsi="Verdana" w:cs="Arial"/>
        </w:rPr>
        <w:t xml:space="preserve">. Para tal efecto, deberán definir y utilizar indicadores o señales de alerta que permitan monitorear dicho riesgo de manera consistente con su perfil de riesgo, modelo de negocio, productos, canales, segmentos y nivel de madurez. </w:t>
      </w:r>
    </w:p>
    <w:p w14:paraId="4F278428" w14:textId="34CE2252" w:rsidR="00AD5D00" w:rsidRDefault="006C2C66" w:rsidP="00AD5D00">
      <w:pPr>
        <w:tabs>
          <w:tab w:val="left" w:pos="567"/>
        </w:tabs>
        <w:contextualSpacing/>
        <w:jc w:val="both"/>
        <w:rPr>
          <w:rFonts w:ascii="Verdana" w:hAnsi="Verdana" w:cs="Arial"/>
          <w:lang w:val="es-ES"/>
        </w:rPr>
      </w:pPr>
      <w:r>
        <w:rPr>
          <w:rFonts w:ascii="Verdana" w:hAnsi="Verdana" w:cs="Arial"/>
          <w:lang w:val="es-ES"/>
        </w:rPr>
        <w:t>1.5.2</w:t>
      </w:r>
      <w:r w:rsidR="009A2543">
        <w:rPr>
          <w:rFonts w:ascii="Verdana" w:hAnsi="Verdana" w:cs="Arial"/>
          <w:lang w:val="es-ES"/>
        </w:rPr>
        <w:t>4</w:t>
      </w:r>
      <w:r>
        <w:rPr>
          <w:rFonts w:ascii="Verdana" w:hAnsi="Verdana" w:cs="Arial"/>
          <w:lang w:val="es-ES"/>
        </w:rPr>
        <w:t>.</w:t>
      </w:r>
    </w:p>
    <w:p w14:paraId="4CB3A22C" w14:textId="2641F323" w:rsidR="00C83E38" w:rsidRPr="00CC3937" w:rsidRDefault="003B57C8" w:rsidP="00A46363">
      <w:pPr>
        <w:jc w:val="both"/>
        <w:rPr>
          <w:rFonts w:ascii="Verdana" w:hAnsi="Verdana"/>
        </w:rPr>
      </w:pPr>
      <w:r w:rsidRPr="00A46363">
        <w:rPr>
          <w:rFonts w:ascii="Verdana" w:hAnsi="Verdana" w:cs="Arial"/>
        </w:rPr>
        <w:t>Este monitoreo debe permitir verificar la efectividad de las medidas adoptadas,</w:t>
      </w:r>
      <w:r w:rsidR="00AD5D00">
        <w:rPr>
          <w:rFonts w:ascii="Verdana" w:hAnsi="Verdana" w:cs="Arial"/>
        </w:rPr>
        <w:t xml:space="preserve"> </w:t>
      </w:r>
      <w:r w:rsidRPr="00A46363">
        <w:rPr>
          <w:rFonts w:ascii="Verdana" w:hAnsi="Verdana" w:cs="Arial"/>
        </w:rPr>
        <w:t>detectar oportunamente deficiencias y adoptar los ajustes necesarios.</w:t>
      </w:r>
      <w:r w:rsidR="00FF2794">
        <w:rPr>
          <w:rFonts w:ascii="Verdana" w:hAnsi="Verdana" w:cs="Arial"/>
        </w:rPr>
        <w:t xml:space="preserve"> </w:t>
      </w:r>
      <w:r w:rsidR="009720B3">
        <w:rPr>
          <w:rFonts w:ascii="Verdana" w:hAnsi="Verdana" w:cs="Arial"/>
        </w:rPr>
        <w:t>Para el efecto, cada entidad debe definir la</w:t>
      </w:r>
      <w:r w:rsidRPr="00A46363">
        <w:rPr>
          <w:rFonts w:ascii="Verdana" w:hAnsi="Verdana" w:cs="Arial"/>
        </w:rPr>
        <w:t xml:space="preserve"> frecuencia de</w:t>
      </w:r>
      <w:r w:rsidR="009720B3">
        <w:rPr>
          <w:rFonts w:ascii="Verdana" w:hAnsi="Verdana" w:cs="Arial"/>
        </w:rPr>
        <w:t>l</w:t>
      </w:r>
      <w:r w:rsidR="00FF2794">
        <w:rPr>
          <w:rFonts w:ascii="Verdana" w:hAnsi="Verdana" w:cs="Arial"/>
        </w:rPr>
        <w:t xml:space="preserve"> monitoreo</w:t>
      </w:r>
      <w:r w:rsidRPr="00A46363">
        <w:rPr>
          <w:rFonts w:ascii="Verdana" w:hAnsi="Verdana" w:cs="Arial"/>
        </w:rPr>
        <w:t xml:space="preserve"> </w:t>
      </w:r>
      <w:r w:rsidR="00870F7C">
        <w:rPr>
          <w:rFonts w:ascii="Verdana" w:hAnsi="Verdana" w:cs="Arial"/>
        </w:rPr>
        <w:t xml:space="preserve">teniendo en </w:t>
      </w:r>
      <w:r w:rsidR="00B0094C">
        <w:rPr>
          <w:rFonts w:ascii="Verdana" w:hAnsi="Verdana" w:cs="Arial"/>
        </w:rPr>
        <w:t>c</w:t>
      </w:r>
      <w:r w:rsidR="00870F7C">
        <w:rPr>
          <w:rFonts w:ascii="Verdana" w:hAnsi="Verdana" w:cs="Arial"/>
        </w:rPr>
        <w:t xml:space="preserve">uenta las particularidades de sus productos y servicios, </w:t>
      </w:r>
      <w:r w:rsidRPr="00A46363">
        <w:rPr>
          <w:rFonts w:ascii="Verdana" w:hAnsi="Verdana" w:cs="Arial"/>
        </w:rPr>
        <w:t>y su impacto potencial sobre los consumidores financieros o el mercado</w:t>
      </w:r>
      <w:r w:rsidR="008B0DBF" w:rsidRPr="00112375">
        <w:rPr>
          <w:rFonts w:ascii="Verdana" w:hAnsi="Verdana" w:cs="Arial"/>
        </w:rPr>
        <w:t xml:space="preserve">. </w:t>
      </w:r>
    </w:p>
    <w:p w14:paraId="5DCBCAE9" w14:textId="5A2EB2D2" w:rsidR="000A2B5A" w:rsidRPr="00CC3937" w:rsidRDefault="00C83E38" w:rsidP="00A46363">
      <w:pPr>
        <w:spacing w:line="240" w:lineRule="auto"/>
        <w:jc w:val="both"/>
        <w:rPr>
          <w:rFonts w:ascii="Verdana" w:hAnsi="Verdana" w:cs="Arial"/>
        </w:rPr>
      </w:pPr>
      <w:r w:rsidRPr="001162C7">
        <w:rPr>
          <w:rFonts w:ascii="Verdana" w:hAnsi="Verdana"/>
          <w:b/>
          <w:bCs/>
        </w:rPr>
        <w:t>PRINCIPIOS DE LA GESTIÓN DEL RIESGO DE CONDUCTAS</w:t>
      </w:r>
      <w:r w:rsidR="00B0094C">
        <w:rPr>
          <w:rFonts w:ascii="Verdana" w:hAnsi="Verdana"/>
          <w:b/>
          <w:bCs/>
        </w:rPr>
        <w:t xml:space="preserve"> </w:t>
      </w:r>
      <w:r w:rsidR="00B0094C">
        <w:rPr>
          <w:rFonts w:ascii="Verdana" w:hAnsi="Verdana" w:cs="Arial"/>
          <w:b/>
        </w:rPr>
        <w:t>DE AFECTACIÓN AL CONSUMIDOR FINANCIERO</w:t>
      </w:r>
    </w:p>
    <w:p w14:paraId="78CFD3FA" w14:textId="12F15F13" w:rsidR="009A2543" w:rsidRDefault="009A2543" w:rsidP="009A2543">
      <w:pPr>
        <w:tabs>
          <w:tab w:val="left" w:pos="567"/>
        </w:tabs>
        <w:contextualSpacing/>
        <w:jc w:val="both"/>
        <w:rPr>
          <w:rFonts w:ascii="Verdana" w:hAnsi="Verdana" w:cs="Arial"/>
          <w:lang w:val="es-ES"/>
        </w:rPr>
      </w:pPr>
      <w:r>
        <w:rPr>
          <w:rFonts w:ascii="Verdana" w:hAnsi="Verdana" w:cs="Arial"/>
          <w:lang w:val="es-ES"/>
        </w:rPr>
        <w:t>1.5.25.</w:t>
      </w:r>
    </w:p>
    <w:p w14:paraId="26BDACA9" w14:textId="06EE70FA" w:rsidR="008011DC" w:rsidRPr="00CC3937" w:rsidRDefault="00344CA1" w:rsidP="009A2543">
      <w:pPr>
        <w:spacing w:line="240" w:lineRule="auto"/>
        <w:jc w:val="both"/>
        <w:rPr>
          <w:rFonts w:ascii="Verdana" w:hAnsi="Verdana" w:cs="Arial"/>
        </w:rPr>
      </w:pPr>
      <w:r w:rsidRPr="00CC3937">
        <w:rPr>
          <w:rFonts w:ascii="Verdana" w:hAnsi="Verdana" w:cs="Arial"/>
          <w:lang w:val="es-ES"/>
        </w:rPr>
        <w:t>La gestión del riesgo de conductas</w:t>
      </w:r>
      <w:r w:rsidR="00B0094C">
        <w:rPr>
          <w:rFonts w:ascii="Verdana" w:hAnsi="Verdana" w:cs="Arial"/>
          <w:lang w:val="es-ES"/>
        </w:rPr>
        <w:t xml:space="preserve"> </w:t>
      </w:r>
      <w:r w:rsidR="00B0094C">
        <w:rPr>
          <w:rFonts w:ascii="Verdana" w:hAnsi="Verdana" w:cs="Arial"/>
        </w:rPr>
        <w:t>de afectación al consumidor financiero</w:t>
      </w:r>
      <w:r w:rsidRPr="00CC3937">
        <w:rPr>
          <w:rFonts w:ascii="Verdana" w:hAnsi="Verdana" w:cs="Arial"/>
          <w:lang w:val="es-ES"/>
        </w:rPr>
        <w:t xml:space="preserve"> se basa en los siguientes principios fundamentales:</w:t>
      </w:r>
    </w:p>
    <w:p w14:paraId="0407235A" w14:textId="24CD0B44" w:rsidR="00B0094C" w:rsidRPr="00A46363" w:rsidRDefault="00344CA1" w:rsidP="00B0094C">
      <w:pPr>
        <w:tabs>
          <w:tab w:val="left" w:pos="567"/>
        </w:tabs>
        <w:spacing w:line="240" w:lineRule="auto"/>
        <w:jc w:val="both"/>
        <w:rPr>
          <w:rFonts w:ascii="Verdana" w:hAnsi="Verdana" w:cs="Arial"/>
          <w:b/>
          <w:bCs/>
          <w:lang w:val="es-ES"/>
        </w:rPr>
      </w:pPr>
      <w:r w:rsidRPr="00A46363">
        <w:rPr>
          <w:rFonts w:ascii="Verdana" w:hAnsi="Verdana" w:cs="Arial"/>
          <w:b/>
          <w:bCs/>
          <w:lang w:val="es-ES"/>
        </w:rPr>
        <w:t>Trato justo al consumidor financiero</w:t>
      </w:r>
    </w:p>
    <w:p w14:paraId="6DB54108" w14:textId="6F240DF8" w:rsidR="009A2543" w:rsidRDefault="009A2543" w:rsidP="009A2543">
      <w:pPr>
        <w:tabs>
          <w:tab w:val="left" w:pos="567"/>
        </w:tabs>
        <w:contextualSpacing/>
        <w:jc w:val="both"/>
        <w:rPr>
          <w:rFonts w:ascii="Verdana" w:hAnsi="Verdana" w:cs="Arial"/>
          <w:lang w:val="es-ES"/>
        </w:rPr>
      </w:pPr>
      <w:r>
        <w:rPr>
          <w:rFonts w:ascii="Verdana" w:hAnsi="Verdana" w:cs="Arial"/>
          <w:lang w:val="es-ES"/>
        </w:rPr>
        <w:t>1.5.26.</w:t>
      </w:r>
    </w:p>
    <w:p w14:paraId="5F27C6A5" w14:textId="0E119451" w:rsidR="00B631A6" w:rsidRPr="00CC3937" w:rsidRDefault="00D367D5" w:rsidP="00A46363">
      <w:pPr>
        <w:tabs>
          <w:tab w:val="left" w:pos="567"/>
        </w:tabs>
        <w:spacing w:line="240" w:lineRule="auto"/>
        <w:jc w:val="both"/>
        <w:rPr>
          <w:rFonts w:ascii="Verdana" w:hAnsi="Verdana" w:cs="Arial"/>
        </w:rPr>
      </w:pPr>
      <w:r>
        <w:rPr>
          <w:rFonts w:ascii="Verdana" w:hAnsi="Verdana" w:cs="Arial"/>
        </w:rPr>
        <w:t>En virtud del principio de trato justo, las entidades vigiladas</w:t>
      </w:r>
      <w:r w:rsidR="00CC7956">
        <w:rPr>
          <w:rFonts w:ascii="Verdana" w:hAnsi="Verdana" w:cs="Arial"/>
        </w:rPr>
        <w:t xml:space="preserve"> deben promover </w:t>
      </w:r>
      <w:r w:rsidR="00B752F4" w:rsidRPr="00A46363">
        <w:rPr>
          <w:rFonts w:ascii="Verdana" w:hAnsi="Verdana" w:cs="Arial"/>
        </w:rPr>
        <w:t xml:space="preserve">que los intereses, necesidades y características de los consumidores financieros estén en el centro de su modelo de negocio y cultura organizacional. Para la aplicación de este principio, las </w:t>
      </w:r>
      <w:r w:rsidR="00E4678B">
        <w:rPr>
          <w:rFonts w:ascii="Verdana" w:hAnsi="Verdana" w:cs="Arial"/>
        </w:rPr>
        <w:t>entidades vigiladas</w:t>
      </w:r>
      <w:r w:rsidR="00B752F4" w:rsidRPr="00A46363">
        <w:rPr>
          <w:rFonts w:ascii="Verdana" w:hAnsi="Verdana" w:cs="Arial"/>
        </w:rPr>
        <w:t xml:space="preserve"> deben tener en cuenta la naturaleza del producto o servicio, las características del consumidor y su propio rol como proveedor. Este principio comprende, entre otros aspectos:</w:t>
      </w:r>
    </w:p>
    <w:p w14:paraId="612FF89D" w14:textId="494DB95B" w:rsidR="00E4678B" w:rsidRPr="00A46363" w:rsidRDefault="00B631A6" w:rsidP="00A46363">
      <w:pPr>
        <w:pStyle w:val="Prrafodelista"/>
        <w:numPr>
          <w:ilvl w:val="0"/>
          <w:numId w:val="45"/>
        </w:numPr>
        <w:spacing w:line="240" w:lineRule="auto"/>
        <w:ind w:left="567" w:hanging="567"/>
        <w:jc w:val="both"/>
        <w:rPr>
          <w:rFonts w:ascii="Verdana" w:hAnsi="Verdana" w:cs="Arial"/>
        </w:rPr>
      </w:pPr>
      <w:r w:rsidRPr="00A46363">
        <w:rPr>
          <w:rFonts w:ascii="Verdana" w:hAnsi="Verdana" w:cs="Arial"/>
        </w:rPr>
        <w:t>Actuar con honestidad, buena fe y transparencia</w:t>
      </w:r>
      <w:r w:rsidR="00E4678B">
        <w:rPr>
          <w:rFonts w:ascii="Verdana" w:hAnsi="Verdana" w:cs="Arial"/>
        </w:rPr>
        <w:t>.</w:t>
      </w:r>
    </w:p>
    <w:p w14:paraId="38A43CAF" w14:textId="77777777" w:rsidR="00E4678B" w:rsidRPr="00A46363" w:rsidRDefault="00E4678B" w:rsidP="00A46363">
      <w:pPr>
        <w:pStyle w:val="Prrafodelista"/>
        <w:spacing w:line="240" w:lineRule="auto"/>
        <w:ind w:left="567"/>
        <w:jc w:val="both"/>
        <w:rPr>
          <w:rFonts w:ascii="Verdana" w:hAnsi="Verdana" w:cs="Arial"/>
        </w:rPr>
      </w:pPr>
    </w:p>
    <w:p w14:paraId="56E09C27" w14:textId="2E4B0E9C" w:rsidR="00E4678B" w:rsidRPr="00A46363" w:rsidRDefault="00CF2FE6" w:rsidP="00A46363">
      <w:pPr>
        <w:pStyle w:val="Prrafodelista"/>
        <w:numPr>
          <w:ilvl w:val="0"/>
          <w:numId w:val="45"/>
        </w:numPr>
        <w:spacing w:line="240" w:lineRule="auto"/>
        <w:ind w:left="567" w:hanging="567"/>
        <w:jc w:val="both"/>
        <w:rPr>
          <w:rFonts w:ascii="Verdana" w:hAnsi="Verdana" w:cs="Arial"/>
        </w:rPr>
      </w:pPr>
      <w:r w:rsidRPr="00A46363">
        <w:rPr>
          <w:rFonts w:ascii="Verdana" w:hAnsi="Verdana" w:cs="Arial"/>
        </w:rPr>
        <w:t>Facilitar que los consumidores financieros puedan tomar decisiones informadas y acordes con sus necesidades y objetivos financieros, teniendo en cuenta las características del producto o servicio</w:t>
      </w:r>
      <w:r w:rsidR="001C51AA" w:rsidRPr="00A46363">
        <w:rPr>
          <w:rFonts w:ascii="Verdana" w:hAnsi="Verdana" w:cs="Arial"/>
        </w:rPr>
        <w:t>.</w:t>
      </w:r>
    </w:p>
    <w:p w14:paraId="2B42521D" w14:textId="77777777" w:rsidR="0007105F" w:rsidRDefault="0007105F" w:rsidP="00A46363">
      <w:pPr>
        <w:pStyle w:val="Prrafodelista"/>
        <w:spacing w:line="240" w:lineRule="auto"/>
        <w:ind w:left="567"/>
        <w:jc w:val="both"/>
        <w:rPr>
          <w:rFonts w:ascii="Verdana" w:hAnsi="Verdana" w:cs="Arial"/>
        </w:rPr>
      </w:pPr>
    </w:p>
    <w:p w14:paraId="3D937159" w14:textId="03053184" w:rsidR="0007105F" w:rsidRPr="00A46363" w:rsidRDefault="00661C77" w:rsidP="0007105F">
      <w:pPr>
        <w:pStyle w:val="Prrafodelista"/>
        <w:numPr>
          <w:ilvl w:val="0"/>
          <w:numId w:val="45"/>
        </w:numPr>
        <w:spacing w:line="240" w:lineRule="auto"/>
        <w:ind w:left="567" w:hanging="567"/>
        <w:jc w:val="both"/>
        <w:rPr>
          <w:rFonts w:ascii="Verdana" w:hAnsi="Verdana" w:cs="Arial"/>
        </w:rPr>
      </w:pPr>
      <w:r w:rsidRPr="00A46363">
        <w:rPr>
          <w:rFonts w:ascii="Verdana" w:hAnsi="Verdana" w:cs="Arial"/>
        </w:rPr>
        <w:t>Evitar causar daños previsibles derivados de la conducta, productos o servicios ofrecidos.</w:t>
      </w:r>
    </w:p>
    <w:p w14:paraId="645368F5" w14:textId="77777777" w:rsidR="0007105F" w:rsidRPr="00A46363" w:rsidRDefault="0007105F" w:rsidP="00A46363">
      <w:pPr>
        <w:pStyle w:val="Prrafodelista"/>
        <w:spacing w:line="240" w:lineRule="auto"/>
        <w:ind w:left="567"/>
        <w:jc w:val="both"/>
        <w:rPr>
          <w:rFonts w:ascii="Verdana" w:hAnsi="Verdana" w:cs="Arial"/>
        </w:rPr>
      </w:pPr>
    </w:p>
    <w:p w14:paraId="0F24793B" w14:textId="100C7977" w:rsidR="00E4678B" w:rsidRPr="00A46363" w:rsidRDefault="00103276" w:rsidP="00A46363">
      <w:pPr>
        <w:pStyle w:val="Prrafodelista"/>
        <w:numPr>
          <w:ilvl w:val="0"/>
          <w:numId w:val="45"/>
        </w:numPr>
        <w:spacing w:line="240" w:lineRule="auto"/>
        <w:ind w:left="567" w:hanging="567"/>
        <w:jc w:val="both"/>
        <w:rPr>
          <w:rFonts w:ascii="Verdana" w:hAnsi="Verdana" w:cs="Arial"/>
        </w:rPr>
      </w:pPr>
      <w:r w:rsidRPr="00A46363">
        <w:rPr>
          <w:rFonts w:ascii="Verdana" w:hAnsi="Verdana" w:cs="Arial"/>
        </w:rPr>
        <w:t xml:space="preserve">Ofrecer </w:t>
      </w:r>
      <w:r w:rsidR="00526415">
        <w:rPr>
          <w:rFonts w:ascii="Verdana" w:hAnsi="Verdana" w:cs="Arial"/>
        </w:rPr>
        <w:t>los productos y servicios en condiciones</w:t>
      </w:r>
      <w:r w:rsidRPr="00A46363">
        <w:rPr>
          <w:rFonts w:ascii="Verdana" w:hAnsi="Verdana" w:cs="Arial"/>
        </w:rPr>
        <w:t xml:space="preserve"> transparentes, comprensibles, de conformidad con las normas aplicables, evitando aprovechamientos derivados de condiciones de vulnerabilidad.</w:t>
      </w:r>
    </w:p>
    <w:p w14:paraId="0E7C93F8" w14:textId="77777777" w:rsidR="00EA076B" w:rsidRPr="00A46363" w:rsidRDefault="00EA076B" w:rsidP="00A46363">
      <w:pPr>
        <w:pStyle w:val="Prrafodelista"/>
        <w:spacing w:line="240" w:lineRule="auto"/>
        <w:ind w:left="567"/>
        <w:jc w:val="both"/>
        <w:rPr>
          <w:rFonts w:ascii="Verdana" w:hAnsi="Verdana" w:cs="Arial"/>
        </w:rPr>
      </w:pPr>
    </w:p>
    <w:p w14:paraId="56899939" w14:textId="263A9E91" w:rsidR="00EA076B" w:rsidRPr="00A46363" w:rsidRDefault="00661C77" w:rsidP="00EA076B">
      <w:pPr>
        <w:pStyle w:val="Prrafodelista"/>
        <w:numPr>
          <w:ilvl w:val="0"/>
          <w:numId w:val="45"/>
        </w:numPr>
        <w:spacing w:line="240" w:lineRule="auto"/>
        <w:ind w:left="567" w:hanging="567"/>
        <w:jc w:val="both"/>
        <w:rPr>
          <w:rFonts w:ascii="Verdana" w:hAnsi="Verdana" w:cs="Arial"/>
        </w:rPr>
      </w:pPr>
      <w:r w:rsidRPr="00A46363">
        <w:rPr>
          <w:rFonts w:ascii="Verdana" w:hAnsi="Verdana" w:cs="Arial"/>
        </w:rPr>
        <w:t>Garantizar la debida atención y soporte durante todo el ciclo de vida del producto.</w:t>
      </w:r>
    </w:p>
    <w:p w14:paraId="69BB45D0" w14:textId="77777777" w:rsidR="003E3D74" w:rsidRDefault="003E3D74" w:rsidP="00A46363">
      <w:pPr>
        <w:pStyle w:val="Prrafodelista"/>
        <w:spacing w:line="240" w:lineRule="auto"/>
        <w:ind w:left="567"/>
        <w:jc w:val="both"/>
        <w:rPr>
          <w:rFonts w:ascii="Verdana" w:hAnsi="Verdana" w:cs="Arial"/>
        </w:rPr>
      </w:pPr>
    </w:p>
    <w:p w14:paraId="555ACB0E" w14:textId="7F4ADC62" w:rsidR="00EA076B" w:rsidRDefault="00661C77" w:rsidP="00A46363">
      <w:pPr>
        <w:pStyle w:val="Prrafodelista"/>
        <w:numPr>
          <w:ilvl w:val="0"/>
          <w:numId w:val="45"/>
        </w:numPr>
        <w:spacing w:line="240" w:lineRule="auto"/>
        <w:ind w:left="567" w:hanging="567"/>
        <w:jc w:val="both"/>
      </w:pPr>
      <w:r w:rsidRPr="00A46363">
        <w:rPr>
          <w:rFonts w:ascii="Verdana" w:hAnsi="Verdana" w:cs="Arial"/>
        </w:rPr>
        <w:t>Abstenerse de imponer barreras injustificadas que limiten el ejercicio de los derechos del consumidor financiero, especialmente en procesos de cancelación, cambio de proveedor o gestión de reclamaciones.</w:t>
      </w:r>
    </w:p>
    <w:p w14:paraId="2BA1497C" w14:textId="75F58ADE" w:rsidR="00AA0734" w:rsidRPr="00A46363" w:rsidRDefault="00A549D2" w:rsidP="00EA076B">
      <w:pPr>
        <w:spacing w:line="240" w:lineRule="auto"/>
        <w:jc w:val="both"/>
        <w:rPr>
          <w:rFonts w:ascii="Verdana" w:hAnsi="Verdana" w:cs="Arial"/>
          <w:b/>
          <w:bCs/>
        </w:rPr>
      </w:pPr>
      <w:r w:rsidRPr="00A46363">
        <w:rPr>
          <w:rFonts w:ascii="Verdana" w:hAnsi="Verdana" w:cs="Arial"/>
          <w:b/>
          <w:bCs/>
        </w:rPr>
        <w:t>Transparencia e integridad del mercado</w:t>
      </w:r>
    </w:p>
    <w:p w14:paraId="540397F5" w14:textId="0D7BFEF7" w:rsidR="009A2543" w:rsidRDefault="009A2543" w:rsidP="009A2543">
      <w:pPr>
        <w:tabs>
          <w:tab w:val="left" w:pos="567"/>
        </w:tabs>
        <w:contextualSpacing/>
        <w:jc w:val="both"/>
        <w:rPr>
          <w:rFonts w:ascii="Verdana" w:hAnsi="Verdana" w:cs="Arial"/>
          <w:lang w:val="es-ES"/>
        </w:rPr>
      </w:pPr>
      <w:r>
        <w:rPr>
          <w:rFonts w:ascii="Verdana" w:hAnsi="Verdana" w:cs="Arial"/>
          <w:lang w:val="es-ES"/>
        </w:rPr>
        <w:t>1.5.27.</w:t>
      </w:r>
    </w:p>
    <w:p w14:paraId="65A5E799" w14:textId="323E5C46" w:rsidR="003F5150" w:rsidRPr="00A46363" w:rsidRDefault="00AA3026" w:rsidP="00A46363">
      <w:pPr>
        <w:spacing w:line="240" w:lineRule="auto"/>
        <w:jc w:val="both"/>
        <w:rPr>
          <w:rFonts w:ascii="Verdana" w:hAnsi="Verdana" w:cs="Arial"/>
        </w:rPr>
      </w:pPr>
      <w:r w:rsidRPr="00A46363">
        <w:rPr>
          <w:rFonts w:ascii="Verdana" w:hAnsi="Verdana" w:cs="Arial"/>
        </w:rPr>
        <w:t>En virtud de</w:t>
      </w:r>
      <w:r w:rsidR="00E97424">
        <w:rPr>
          <w:rFonts w:ascii="Verdana" w:hAnsi="Verdana" w:cs="Arial"/>
        </w:rPr>
        <w:t xml:space="preserve">l </w:t>
      </w:r>
      <w:r w:rsidR="00DF21D0">
        <w:rPr>
          <w:rFonts w:ascii="Verdana" w:hAnsi="Verdana" w:cs="Arial"/>
        </w:rPr>
        <w:t xml:space="preserve">principio de transparencia e integridad del mercado, </w:t>
      </w:r>
      <w:r w:rsidRPr="00A46363">
        <w:rPr>
          <w:rFonts w:ascii="Verdana" w:hAnsi="Verdana" w:cs="Arial"/>
        </w:rPr>
        <w:t xml:space="preserve">las </w:t>
      </w:r>
      <w:r w:rsidR="00DF21D0">
        <w:rPr>
          <w:rFonts w:ascii="Verdana" w:hAnsi="Verdana" w:cs="Arial"/>
        </w:rPr>
        <w:t xml:space="preserve">entidades vigiladas </w:t>
      </w:r>
      <w:r w:rsidRPr="00A46363">
        <w:rPr>
          <w:rFonts w:ascii="Verdana" w:hAnsi="Verdana" w:cs="Arial"/>
        </w:rPr>
        <w:t>deben desarrollar sus actividades de manera que contribuyan a preservar la transparencia, integridad y confianza en los mercados</w:t>
      </w:r>
      <w:r w:rsidR="00F33A49" w:rsidRPr="00A46363">
        <w:rPr>
          <w:rFonts w:ascii="Verdana" w:hAnsi="Verdana" w:cs="Arial"/>
        </w:rPr>
        <w:t>.</w:t>
      </w:r>
      <w:r w:rsidR="000E21A0">
        <w:rPr>
          <w:rFonts w:ascii="Verdana" w:hAnsi="Verdana" w:cs="Arial"/>
        </w:rPr>
        <w:t xml:space="preserve"> Para el efecto, </w:t>
      </w:r>
      <w:r w:rsidR="000E21A0" w:rsidRPr="000E21A0">
        <w:rPr>
          <w:rFonts w:ascii="Verdana" w:hAnsi="Verdana" w:cs="Arial"/>
        </w:rPr>
        <w:t>se deben tener en cuenta las siguientes definiciones:</w:t>
      </w:r>
    </w:p>
    <w:p w14:paraId="3B3DE91F" w14:textId="7EB8AE47" w:rsidR="000E21A0" w:rsidRPr="00A46363" w:rsidRDefault="00C016BF" w:rsidP="00A46363">
      <w:pPr>
        <w:pStyle w:val="Prrafodelista"/>
        <w:numPr>
          <w:ilvl w:val="0"/>
          <w:numId w:val="48"/>
        </w:numPr>
        <w:ind w:left="567" w:hanging="567"/>
        <w:jc w:val="both"/>
        <w:rPr>
          <w:rFonts w:ascii="Verdana" w:hAnsi="Verdana"/>
        </w:rPr>
      </w:pPr>
      <w:r w:rsidRPr="00A46363">
        <w:rPr>
          <w:rFonts w:ascii="Verdana" w:hAnsi="Verdana"/>
        </w:rPr>
        <w:t xml:space="preserve">Transparencia: </w:t>
      </w:r>
      <w:r w:rsidR="00AA3026" w:rsidRPr="00A46363">
        <w:rPr>
          <w:rFonts w:ascii="Verdana" w:hAnsi="Verdana"/>
        </w:rPr>
        <w:t>Existencia de información oportuna, suficiente y comprensible, disponible al mercado, que permita a los consumidores financieros y demás participantes tomar decisiones informadas.</w:t>
      </w:r>
    </w:p>
    <w:p w14:paraId="7B5CD9C2" w14:textId="77777777" w:rsidR="000E21A0" w:rsidRPr="00A46363" w:rsidRDefault="000E21A0" w:rsidP="00A46363">
      <w:pPr>
        <w:pStyle w:val="Prrafodelista"/>
        <w:jc w:val="both"/>
        <w:rPr>
          <w:rFonts w:ascii="Verdana" w:hAnsi="Verdana"/>
        </w:rPr>
      </w:pPr>
    </w:p>
    <w:p w14:paraId="72662E4E" w14:textId="1FE9AAE0" w:rsidR="00C12C8F" w:rsidRDefault="00C016BF" w:rsidP="00A46363">
      <w:pPr>
        <w:pStyle w:val="Prrafodelista"/>
        <w:numPr>
          <w:ilvl w:val="0"/>
          <w:numId w:val="48"/>
        </w:numPr>
        <w:ind w:left="567" w:hanging="567"/>
        <w:jc w:val="both"/>
        <w:rPr>
          <w:b/>
          <w:bCs/>
        </w:rPr>
      </w:pPr>
      <w:r w:rsidRPr="00A46363">
        <w:rPr>
          <w:rFonts w:ascii="Verdana" w:hAnsi="Verdana"/>
        </w:rPr>
        <w:t xml:space="preserve">Integridad: </w:t>
      </w:r>
      <w:r w:rsidR="00AA3026" w:rsidRPr="00A46363">
        <w:rPr>
          <w:rFonts w:ascii="Verdana" w:hAnsi="Verdana"/>
        </w:rPr>
        <w:t xml:space="preserve">Se refiere a condiciones de mercado que permitan la libre concurrencia, la adecuada formación de precios y la prevención de prácticas abusivas, manipulaciones u otras conductas que afecten la confianza pública. Las </w:t>
      </w:r>
      <w:r w:rsidR="0089728B">
        <w:rPr>
          <w:rFonts w:ascii="Verdana" w:hAnsi="Verdana"/>
        </w:rPr>
        <w:t>entidades vigiladas</w:t>
      </w:r>
      <w:r w:rsidR="00AA3026" w:rsidRPr="00A46363">
        <w:rPr>
          <w:rFonts w:ascii="Verdana" w:hAnsi="Verdana"/>
        </w:rPr>
        <w:t xml:space="preserve"> deben actuar con sujeción a las normas aplicables y abstenerse de realizar conductas que afecten dichas condiciones.</w:t>
      </w:r>
    </w:p>
    <w:p w14:paraId="11E93893" w14:textId="067D1348" w:rsidR="00475E72" w:rsidRPr="00CC3937" w:rsidRDefault="0012218F" w:rsidP="00A46363">
      <w:pPr>
        <w:spacing w:line="240" w:lineRule="auto"/>
        <w:jc w:val="both"/>
        <w:rPr>
          <w:rFonts w:ascii="Verdana" w:hAnsi="Verdana" w:cs="Arial"/>
        </w:rPr>
      </w:pPr>
      <w:r w:rsidRPr="00CA7CB7">
        <w:rPr>
          <w:rFonts w:ascii="Verdana" w:eastAsia="Arial" w:hAnsi="Verdana" w:cs="Arial"/>
          <w:b/>
          <w:bCs/>
          <w:lang w:val="es"/>
        </w:rPr>
        <w:t>FACTORES MÍNIMOS PARA LA</w:t>
      </w:r>
      <w:r>
        <w:rPr>
          <w:rFonts w:ascii="Verdana" w:eastAsia="Arial" w:hAnsi="Verdana" w:cs="Arial"/>
          <w:b/>
          <w:bCs/>
          <w:lang w:val="es"/>
        </w:rPr>
        <w:t xml:space="preserve"> G</w:t>
      </w:r>
      <w:r w:rsidRPr="00CA7CB7">
        <w:rPr>
          <w:rFonts w:ascii="Verdana" w:eastAsia="Arial" w:hAnsi="Verdana" w:cs="Arial"/>
          <w:b/>
          <w:bCs/>
          <w:lang w:val="es"/>
        </w:rPr>
        <w:t xml:space="preserve">ESTIÓN DEL </w:t>
      </w:r>
      <w:r>
        <w:rPr>
          <w:rFonts w:ascii="Verdana" w:eastAsia="Arial" w:hAnsi="Verdana" w:cs="Arial"/>
          <w:b/>
          <w:bCs/>
          <w:lang w:val="es"/>
        </w:rPr>
        <w:t>R</w:t>
      </w:r>
      <w:r w:rsidRPr="00CA7CB7">
        <w:rPr>
          <w:rFonts w:ascii="Verdana" w:eastAsia="Arial" w:hAnsi="Verdana" w:cs="Arial"/>
          <w:b/>
          <w:bCs/>
          <w:lang w:val="es"/>
        </w:rPr>
        <w:t>IESGO DE</w:t>
      </w:r>
      <w:r w:rsidRPr="00CC3937">
        <w:rPr>
          <w:rFonts w:ascii="Verdana" w:eastAsia="Arial" w:hAnsi="Verdana" w:cs="Arial"/>
          <w:b/>
          <w:bCs/>
          <w:lang w:val="es"/>
        </w:rPr>
        <w:t xml:space="preserve"> </w:t>
      </w:r>
      <w:r>
        <w:rPr>
          <w:rFonts w:ascii="Verdana" w:eastAsia="Arial" w:hAnsi="Verdana" w:cs="Arial"/>
          <w:b/>
          <w:bCs/>
          <w:lang w:val="es"/>
        </w:rPr>
        <w:t>C</w:t>
      </w:r>
      <w:r w:rsidRPr="00CC3937">
        <w:rPr>
          <w:rFonts w:ascii="Verdana" w:eastAsia="Arial" w:hAnsi="Verdana" w:cs="Arial"/>
          <w:b/>
          <w:bCs/>
          <w:lang w:val="es"/>
        </w:rPr>
        <w:t>ONDUCTAS</w:t>
      </w:r>
      <w:r>
        <w:rPr>
          <w:rFonts w:ascii="Verdana" w:eastAsia="Arial" w:hAnsi="Verdana" w:cs="Arial"/>
          <w:b/>
          <w:bCs/>
          <w:lang w:val="es"/>
        </w:rPr>
        <w:t xml:space="preserve"> DE AFECTACIÓN AL CONSUMIDOR FINANCIERO</w:t>
      </w:r>
    </w:p>
    <w:p w14:paraId="298A0899" w14:textId="4A896304" w:rsidR="009A2543" w:rsidRDefault="009A2543" w:rsidP="009A2543">
      <w:pPr>
        <w:tabs>
          <w:tab w:val="left" w:pos="567"/>
        </w:tabs>
        <w:contextualSpacing/>
        <w:jc w:val="both"/>
        <w:rPr>
          <w:rFonts w:ascii="Verdana" w:hAnsi="Verdana" w:cs="Arial"/>
          <w:lang w:val="es-ES"/>
        </w:rPr>
      </w:pPr>
      <w:r>
        <w:rPr>
          <w:rFonts w:ascii="Verdana" w:hAnsi="Verdana" w:cs="Arial"/>
          <w:lang w:val="es-ES"/>
        </w:rPr>
        <w:t>1.5.28.</w:t>
      </w:r>
    </w:p>
    <w:p w14:paraId="0EED794F" w14:textId="0C1A4528" w:rsidR="00E86A24" w:rsidRDefault="00144573" w:rsidP="00E86A24">
      <w:pPr>
        <w:tabs>
          <w:tab w:val="left" w:pos="567"/>
        </w:tabs>
        <w:jc w:val="both"/>
        <w:rPr>
          <w:rFonts w:ascii="Verdana" w:hAnsi="Verdana" w:cs="Arial"/>
        </w:rPr>
      </w:pPr>
      <w:r>
        <w:rPr>
          <w:rFonts w:ascii="Verdana" w:hAnsi="Verdana" w:cs="Arial"/>
          <w:lang w:val="es-ES"/>
        </w:rPr>
        <w:t>P</w:t>
      </w:r>
      <w:r w:rsidR="00475E72" w:rsidRPr="00050EE4">
        <w:rPr>
          <w:rFonts w:ascii="Verdana" w:hAnsi="Verdana" w:cs="Arial"/>
          <w:lang w:val="es-ES"/>
        </w:rPr>
        <w:t xml:space="preserve">ara </w:t>
      </w:r>
      <w:r>
        <w:rPr>
          <w:rFonts w:ascii="Verdana" w:hAnsi="Verdana" w:cs="Arial"/>
          <w:lang w:val="es-ES"/>
        </w:rPr>
        <w:t xml:space="preserve">efectos de </w:t>
      </w:r>
      <w:r w:rsidR="00475E72" w:rsidRPr="00050EE4">
        <w:rPr>
          <w:rFonts w:ascii="Verdana" w:hAnsi="Verdana" w:cs="Arial"/>
          <w:lang w:val="es-ES"/>
        </w:rPr>
        <w:t xml:space="preserve">la gestión del riesgo de conductas </w:t>
      </w:r>
      <w:r>
        <w:rPr>
          <w:rFonts w:ascii="Verdana" w:hAnsi="Verdana" w:cs="Arial"/>
          <w:lang w:val="es-ES"/>
        </w:rPr>
        <w:t>de a</w:t>
      </w:r>
      <w:r w:rsidR="00637EB2">
        <w:rPr>
          <w:rFonts w:ascii="Verdana" w:hAnsi="Verdana" w:cs="Arial"/>
          <w:lang w:val="es-ES"/>
        </w:rPr>
        <w:t>fectación al consumidor financiero, las entidades vigiladas deben considerar, como mínimo, los siguientes factores de riesgo</w:t>
      </w:r>
      <w:r w:rsidR="00E86A24">
        <w:rPr>
          <w:rFonts w:ascii="Verdana" w:eastAsia="Arial" w:hAnsi="Verdana" w:cs="Arial"/>
        </w:rPr>
        <w:t>:</w:t>
      </w:r>
      <w:r w:rsidR="00E86A24" w:rsidRPr="00112375">
        <w:rPr>
          <w:rFonts w:ascii="Verdana" w:eastAsia="Arial" w:hAnsi="Verdana" w:cs="Arial"/>
        </w:rPr>
        <w:t xml:space="preserve"> </w:t>
      </w:r>
    </w:p>
    <w:p w14:paraId="47537822" w14:textId="24FA2EE3" w:rsidR="00E86A24" w:rsidRPr="00112375" w:rsidRDefault="00E86A24" w:rsidP="00E86A24">
      <w:pPr>
        <w:tabs>
          <w:tab w:val="left" w:pos="567"/>
        </w:tabs>
        <w:jc w:val="both"/>
        <w:rPr>
          <w:rFonts w:ascii="Verdana" w:hAnsi="Verdana" w:cs="Arial"/>
          <w:b/>
          <w:bCs/>
        </w:rPr>
      </w:pPr>
      <w:r>
        <w:rPr>
          <w:rFonts w:ascii="Verdana" w:hAnsi="Verdana" w:cs="Arial"/>
          <w:b/>
          <w:bCs/>
        </w:rPr>
        <w:t>Producto y mercado objetivo</w:t>
      </w:r>
    </w:p>
    <w:p w14:paraId="4E39EDFA" w14:textId="0132A887" w:rsidR="00637EB2" w:rsidRDefault="00E86A24" w:rsidP="00E86A24">
      <w:pPr>
        <w:tabs>
          <w:tab w:val="left" w:pos="567"/>
        </w:tabs>
        <w:contextualSpacing/>
        <w:jc w:val="both"/>
        <w:rPr>
          <w:rFonts w:ascii="Verdana" w:hAnsi="Verdana" w:cs="Arial"/>
          <w:lang w:val="es-ES"/>
        </w:rPr>
      </w:pPr>
      <w:r>
        <w:rPr>
          <w:rFonts w:ascii="Verdana" w:hAnsi="Verdana" w:cs="Arial"/>
          <w:lang w:val="es-ES"/>
        </w:rPr>
        <w:t>1.</w:t>
      </w:r>
      <w:r w:rsidR="00637EB2">
        <w:rPr>
          <w:rFonts w:ascii="Verdana" w:hAnsi="Verdana" w:cs="Arial"/>
          <w:lang w:val="es-ES"/>
        </w:rPr>
        <w:t>5.2</w:t>
      </w:r>
      <w:r>
        <w:rPr>
          <w:rFonts w:ascii="Verdana" w:hAnsi="Verdana" w:cs="Arial"/>
          <w:lang w:val="es-ES"/>
        </w:rPr>
        <w:t>9</w:t>
      </w:r>
      <w:r w:rsidR="00637EB2">
        <w:rPr>
          <w:rFonts w:ascii="Verdana" w:hAnsi="Verdana" w:cs="Arial"/>
          <w:lang w:val="es-ES"/>
        </w:rPr>
        <w:t>.</w:t>
      </w:r>
    </w:p>
    <w:p w14:paraId="1D89820B" w14:textId="5D521EE0" w:rsidR="00E86A24" w:rsidRDefault="00B55E91" w:rsidP="00E86A24">
      <w:pPr>
        <w:tabs>
          <w:tab w:val="left" w:pos="567"/>
        </w:tabs>
        <w:jc w:val="both"/>
        <w:rPr>
          <w:rFonts w:ascii="Verdana" w:hAnsi="Verdana" w:cs="Arial"/>
        </w:rPr>
      </w:pPr>
      <w:r w:rsidRPr="00A46363">
        <w:rPr>
          <w:rFonts w:ascii="Verdana" w:hAnsi="Verdana" w:cs="Arial"/>
        </w:rPr>
        <w:t xml:space="preserve">Los productos y servicios financieros deben estar diseñados adecuadamente para el mercado objetivo previamente definido por la </w:t>
      </w:r>
      <w:r w:rsidR="00E86A24">
        <w:rPr>
          <w:rFonts w:ascii="Verdana" w:hAnsi="Verdana" w:cs="Arial"/>
        </w:rPr>
        <w:t>entidad vigilada</w:t>
      </w:r>
      <w:r w:rsidRPr="00A46363">
        <w:rPr>
          <w:rFonts w:ascii="Verdana" w:hAnsi="Verdana" w:cs="Arial"/>
        </w:rPr>
        <w:t xml:space="preserve"> y se debe establecer un proceso adecuado para la segmentación de dicho mercado.</w:t>
      </w:r>
      <w:r w:rsidR="00FE05C7" w:rsidRPr="00A46363">
        <w:rPr>
          <w:rFonts w:ascii="Verdana" w:hAnsi="Verdana" w:cs="Arial"/>
        </w:rPr>
        <w:t xml:space="preserve"> </w:t>
      </w:r>
      <w:r w:rsidR="00FE05C7" w:rsidRPr="00A46363">
        <w:rPr>
          <w:rFonts w:ascii="Verdana" w:eastAsia="Arial" w:hAnsi="Verdana" w:cs="Arial"/>
        </w:rPr>
        <w:t xml:space="preserve">Para estos efectos, la </w:t>
      </w:r>
      <w:r w:rsidR="00E86A24">
        <w:rPr>
          <w:rFonts w:ascii="Verdana" w:eastAsia="Arial" w:hAnsi="Verdana" w:cs="Arial"/>
        </w:rPr>
        <w:t>entidad vigilada</w:t>
      </w:r>
      <w:r w:rsidR="00FE05C7" w:rsidRPr="00A46363">
        <w:rPr>
          <w:rFonts w:ascii="Verdana" w:eastAsia="Arial" w:hAnsi="Verdana" w:cs="Arial"/>
        </w:rPr>
        <w:t xml:space="preserve"> definirá un proceso de prueba de los productos o servicios financieros previo a su lanzamiento, </w:t>
      </w:r>
      <w:r w:rsidR="00E86A24">
        <w:rPr>
          <w:rFonts w:ascii="Verdana" w:eastAsia="Arial" w:hAnsi="Verdana" w:cs="Arial"/>
        </w:rPr>
        <w:t xml:space="preserve">o </w:t>
      </w:r>
      <w:r w:rsidR="00FE05C7" w:rsidRPr="00A46363">
        <w:rPr>
          <w:rFonts w:ascii="Verdana" w:eastAsia="Arial" w:hAnsi="Verdana" w:cs="Arial"/>
        </w:rPr>
        <w:t>cuando se vayan a dirigir a un nuevo mercado objetivo</w:t>
      </w:r>
      <w:r w:rsidRPr="00A46363">
        <w:rPr>
          <w:rFonts w:ascii="Verdana" w:eastAsia="Arial" w:hAnsi="Verdana" w:cs="Arial"/>
        </w:rPr>
        <w:t xml:space="preserve">. </w:t>
      </w:r>
    </w:p>
    <w:p w14:paraId="18A2A53F" w14:textId="32776346" w:rsidR="00E86A24" w:rsidRPr="00A46363" w:rsidRDefault="00B55E91" w:rsidP="00E86A24">
      <w:pPr>
        <w:tabs>
          <w:tab w:val="left" w:pos="567"/>
        </w:tabs>
        <w:jc w:val="both"/>
        <w:rPr>
          <w:rFonts w:ascii="Verdana" w:hAnsi="Verdana" w:cs="Arial"/>
          <w:b/>
          <w:bCs/>
        </w:rPr>
      </w:pPr>
      <w:r w:rsidRPr="00A46363">
        <w:rPr>
          <w:rFonts w:ascii="Verdana" w:hAnsi="Verdana" w:cs="Arial"/>
          <w:b/>
          <w:bCs/>
        </w:rPr>
        <w:t>Relacionamiento con el consumidor financiero</w:t>
      </w:r>
    </w:p>
    <w:p w14:paraId="3C81A80E" w14:textId="550B6ABB" w:rsidR="00E86A24" w:rsidRDefault="00E86A24" w:rsidP="00E86A24">
      <w:pPr>
        <w:tabs>
          <w:tab w:val="left" w:pos="567"/>
        </w:tabs>
        <w:contextualSpacing/>
        <w:jc w:val="both"/>
        <w:rPr>
          <w:rFonts w:ascii="Verdana" w:hAnsi="Verdana" w:cs="Arial"/>
          <w:lang w:val="es-ES"/>
        </w:rPr>
      </w:pPr>
      <w:r>
        <w:rPr>
          <w:rFonts w:ascii="Verdana" w:hAnsi="Verdana" w:cs="Arial"/>
          <w:lang w:val="es-ES"/>
        </w:rPr>
        <w:t>1.5.30.</w:t>
      </w:r>
    </w:p>
    <w:p w14:paraId="5010AFFA" w14:textId="7D357D86" w:rsidR="00B55E91" w:rsidRPr="00A46363" w:rsidRDefault="00B55E91" w:rsidP="00A46363">
      <w:pPr>
        <w:tabs>
          <w:tab w:val="left" w:pos="567"/>
        </w:tabs>
        <w:jc w:val="both"/>
        <w:rPr>
          <w:rFonts w:ascii="Verdana" w:hAnsi="Verdana" w:cs="Arial"/>
          <w:lang w:val="es-ES"/>
        </w:rPr>
      </w:pPr>
      <w:r w:rsidRPr="00A46363">
        <w:rPr>
          <w:rFonts w:ascii="Verdana" w:hAnsi="Verdana" w:cs="Arial"/>
        </w:rPr>
        <w:t>Implementar esquemas de venta, información y asesoría adecuados para evitar afectaciones a los consumidores financieros en el ciclo de vida del producto o servicio</w:t>
      </w:r>
      <w:r w:rsidRPr="00A46363">
        <w:rPr>
          <w:rFonts w:ascii="Verdana" w:hAnsi="Verdana" w:cs="Arial"/>
          <w:lang w:val="es-ES"/>
        </w:rPr>
        <w:t>.</w:t>
      </w:r>
    </w:p>
    <w:p w14:paraId="408BA109" w14:textId="77777777" w:rsidR="007903D1" w:rsidRDefault="007903D1" w:rsidP="00746407">
      <w:pPr>
        <w:tabs>
          <w:tab w:val="left" w:pos="567"/>
        </w:tabs>
        <w:spacing w:line="240" w:lineRule="auto"/>
        <w:jc w:val="both"/>
        <w:rPr>
          <w:rFonts w:ascii="Verdana" w:hAnsi="Verdana" w:cs="Arial"/>
          <w:b/>
          <w:bCs/>
          <w:lang w:val="es-ES"/>
        </w:rPr>
      </w:pPr>
    </w:p>
    <w:p w14:paraId="077E7877" w14:textId="054844FF" w:rsidR="00746407" w:rsidRPr="00A46363" w:rsidRDefault="00B55E91" w:rsidP="00746407">
      <w:pPr>
        <w:tabs>
          <w:tab w:val="left" w:pos="567"/>
        </w:tabs>
        <w:spacing w:line="240" w:lineRule="auto"/>
        <w:jc w:val="both"/>
        <w:rPr>
          <w:rFonts w:ascii="Verdana" w:hAnsi="Verdana" w:cs="Arial"/>
          <w:b/>
          <w:bCs/>
          <w:lang w:val="es-ES"/>
        </w:rPr>
      </w:pPr>
      <w:r w:rsidRPr="00A46363">
        <w:rPr>
          <w:rFonts w:ascii="Verdana" w:hAnsi="Verdana" w:cs="Arial"/>
          <w:b/>
          <w:bCs/>
          <w:lang w:val="es-ES"/>
        </w:rPr>
        <w:lastRenderedPageBreak/>
        <w:t xml:space="preserve">Estrategias e incentivos </w:t>
      </w:r>
    </w:p>
    <w:p w14:paraId="2988E3AB" w14:textId="28468D26" w:rsidR="00746407" w:rsidRDefault="00746407" w:rsidP="00746407">
      <w:pPr>
        <w:tabs>
          <w:tab w:val="left" w:pos="567"/>
        </w:tabs>
        <w:contextualSpacing/>
        <w:jc w:val="both"/>
        <w:rPr>
          <w:rFonts w:ascii="Verdana" w:hAnsi="Verdana" w:cs="Arial"/>
          <w:lang w:val="es-ES"/>
        </w:rPr>
      </w:pPr>
      <w:r>
        <w:rPr>
          <w:rFonts w:ascii="Verdana" w:hAnsi="Verdana" w:cs="Arial"/>
          <w:lang w:val="es-ES"/>
        </w:rPr>
        <w:t>1.5.31.</w:t>
      </w:r>
    </w:p>
    <w:p w14:paraId="2A9DABAC" w14:textId="7121283E" w:rsidR="00B55E91" w:rsidRPr="00A46363" w:rsidRDefault="00B55E91" w:rsidP="00A46363">
      <w:pPr>
        <w:tabs>
          <w:tab w:val="left" w:pos="567"/>
        </w:tabs>
        <w:spacing w:line="240" w:lineRule="auto"/>
        <w:jc w:val="both"/>
        <w:rPr>
          <w:rFonts w:ascii="Verdana" w:hAnsi="Verdana" w:cs="Arial"/>
          <w:lang w:val="es-ES"/>
        </w:rPr>
      </w:pPr>
      <w:r w:rsidRPr="00A46363">
        <w:rPr>
          <w:rFonts w:ascii="Verdana" w:hAnsi="Verdana" w:cs="Arial"/>
        </w:rPr>
        <w:t>Establecer políticas de remuneración</w:t>
      </w:r>
      <w:r w:rsidR="007B75F9" w:rsidRPr="00A46363">
        <w:rPr>
          <w:rFonts w:ascii="Verdana" w:hAnsi="Verdana" w:cs="Arial"/>
        </w:rPr>
        <w:t xml:space="preserve">, esquemas de incentivos </w:t>
      </w:r>
      <w:r w:rsidRPr="00A46363">
        <w:rPr>
          <w:rFonts w:ascii="Verdana" w:hAnsi="Verdana" w:cs="Arial"/>
        </w:rPr>
        <w:t>y estrategias de negocio</w:t>
      </w:r>
      <w:r w:rsidR="007B75F9" w:rsidRPr="00A46363">
        <w:rPr>
          <w:rFonts w:ascii="Verdana" w:hAnsi="Verdana" w:cs="Arial"/>
        </w:rPr>
        <w:t>, incluidas metas comerciales,</w:t>
      </w:r>
      <w:r w:rsidRPr="00A46363">
        <w:rPr>
          <w:rFonts w:ascii="Verdana" w:hAnsi="Verdana" w:cs="Arial"/>
        </w:rPr>
        <w:t xml:space="preserve"> que eviten fomentar conductas que puedan generar daño a los consumidores financieros o a la transparencia e integridad del mercado.</w:t>
      </w:r>
    </w:p>
    <w:p w14:paraId="33CF53C4" w14:textId="77777777" w:rsidR="00661C77" w:rsidRPr="00CC3937" w:rsidRDefault="00661C77" w:rsidP="006331DE">
      <w:pPr>
        <w:spacing w:line="240" w:lineRule="auto"/>
        <w:jc w:val="both"/>
        <w:rPr>
          <w:rFonts w:ascii="Verdana" w:hAnsi="Verdana"/>
        </w:rPr>
      </w:pPr>
    </w:p>
    <w:sectPr w:rsidR="00661C77" w:rsidRPr="00CC3937" w:rsidSect="003C558F">
      <w:pgSz w:w="12240" w:h="20160" w:code="5"/>
      <w:pgMar w:top="1701"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902B7D" w14:textId="77777777" w:rsidR="009F5C0E" w:rsidRDefault="009F5C0E" w:rsidP="00057BF6">
      <w:pPr>
        <w:spacing w:after="0" w:line="240" w:lineRule="auto"/>
      </w:pPr>
      <w:r>
        <w:separator/>
      </w:r>
    </w:p>
  </w:endnote>
  <w:endnote w:type="continuationSeparator" w:id="0">
    <w:p w14:paraId="4A08259B" w14:textId="77777777" w:rsidR="009F5C0E" w:rsidRDefault="009F5C0E" w:rsidP="00057BF6">
      <w:pPr>
        <w:spacing w:after="0" w:line="240" w:lineRule="auto"/>
      </w:pPr>
      <w:r>
        <w:continuationSeparator/>
      </w:r>
    </w:p>
  </w:endnote>
  <w:endnote w:type="continuationNotice" w:id="1">
    <w:p w14:paraId="12C47E7F" w14:textId="77777777" w:rsidR="009F5C0E" w:rsidRDefault="009F5C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6B196" w14:textId="77777777" w:rsidR="009F5C0E" w:rsidRDefault="009F5C0E" w:rsidP="00057BF6">
      <w:pPr>
        <w:spacing w:after="0" w:line="240" w:lineRule="auto"/>
      </w:pPr>
      <w:r>
        <w:separator/>
      </w:r>
    </w:p>
  </w:footnote>
  <w:footnote w:type="continuationSeparator" w:id="0">
    <w:p w14:paraId="6126D7B5" w14:textId="77777777" w:rsidR="009F5C0E" w:rsidRDefault="009F5C0E" w:rsidP="00057BF6">
      <w:pPr>
        <w:spacing w:after="0" w:line="240" w:lineRule="auto"/>
      </w:pPr>
      <w:r>
        <w:continuationSeparator/>
      </w:r>
    </w:p>
  </w:footnote>
  <w:footnote w:type="continuationNotice" w:id="1">
    <w:p w14:paraId="45575733" w14:textId="77777777" w:rsidR="009F5C0E" w:rsidRDefault="009F5C0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43DA6" w14:textId="177B21D3" w:rsidR="00057BF6" w:rsidRPr="003A5CFE" w:rsidRDefault="003A5CFE" w:rsidP="003A5CFE">
    <w:pPr>
      <w:pStyle w:val="Encabezado"/>
      <w:jc w:val="center"/>
      <w:rPr>
        <w:rFonts w:ascii="Verdana" w:hAnsi="Verdana"/>
        <w:b/>
        <w:bCs/>
      </w:rPr>
    </w:pPr>
    <w:r w:rsidRPr="003A5CFE">
      <w:rPr>
        <w:rFonts w:ascii="Verdana" w:hAnsi="Verdana"/>
        <w:b/>
        <w:bCs/>
      </w:rPr>
      <w:t>SUPERINTENDENCIA FINANCIERA DE COLOMBIA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8962FB4E"/>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2257FF1"/>
    <w:multiLevelType w:val="hybridMultilevel"/>
    <w:tmpl w:val="291C5BA2"/>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3707E4D"/>
    <w:multiLevelType w:val="hybridMultilevel"/>
    <w:tmpl w:val="0D2EEA1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49F09D8"/>
    <w:multiLevelType w:val="hybridMultilevel"/>
    <w:tmpl w:val="FABA555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6DA776E"/>
    <w:multiLevelType w:val="hybridMultilevel"/>
    <w:tmpl w:val="33583FBC"/>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0D081AD3"/>
    <w:multiLevelType w:val="hybridMultilevel"/>
    <w:tmpl w:val="C7BAC22A"/>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41D56BA"/>
    <w:multiLevelType w:val="hybridMultilevel"/>
    <w:tmpl w:val="32763408"/>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4C02DBD"/>
    <w:multiLevelType w:val="hybridMultilevel"/>
    <w:tmpl w:val="311EB274"/>
    <w:lvl w:ilvl="0" w:tplc="A40A7E10">
      <w:start w:val="1"/>
      <w:numFmt w:val="lowerRoman"/>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7111CE5"/>
    <w:multiLevelType w:val="hybridMultilevel"/>
    <w:tmpl w:val="89FE707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89301C5"/>
    <w:multiLevelType w:val="hybridMultilevel"/>
    <w:tmpl w:val="1D767D50"/>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8942C86"/>
    <w:multiLevelType w:val="hybridMultilevel"/>
    <w:tmpl w:val="A866C11C"/>
    <w:lvl w:ilvl="0" w:tplc="580A0019">
      <w:start w:val="1"/>
      <w:numFmt w:val="lowerLetter"/>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1" w15:restartNumberingAfterBreak="0">
    <w:nsid w:val="19091111"/>
    <w:multiLevelType w:val="hybridMultilevel"/>
    <w:tmpl w:val="DC00A980"/>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1BD311EA"/>
    <w:multiLevelType w:val="hybridMultilevel"/>
    <w:tmpl w:val="AE14BE0C"/>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13" w15:restartNumberingAfterBreak="0">
    <w:nsid w:val="1D870280"/>
    <w:multiLevelType w:val="hybridMultilevel"/>
    <w:tmpl w:val="13D63AB8"/>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20AF7F3D"/>
    <w:multiLevelType w:val="hybridMultilevel"/>
    <w:tmpl w:val="29D2DF30"/>
    <w:lvl w:ilvl="0" w:tplc="580A0019">
      <w:start w:val="1"/>
      <w:numFmt w:val="lowerLetter"/>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5" w15:restartNumberingAfterBreak="0">
    <w:nsid w:val="223C1216"/>
    <w:multiLevelType w:val="hybridMultilevel"/>
    <w:tmpl w:val="0C126216"/>
    <w:lvl w:ilvl="0" w:tplc="240A0019">
      <w:start w:val="1"/>
      <w:numFmt w:val="lowerLetter"/>
      <w:lvlText w:val="%1."/>
      <w:lvlJc w:val="left"/>
      <w:pPr>
        <w:ind w:left="1287" w:hanging="360"/>
      </w:pPr>
    </w:lvl>
    <w:lvl w:ilvl="1" w:tplc="240A0019" w:tentative="1">
      <w:start w:val="1"/>
      <w:numFmt w:val="lowerLetter"/>
      <w:lvlText w:val="%2."/>
      <w:lvlJc w:val="left"/>
      <w:pPr>
        <w:ind w:left="2007" w:hanging="360"/>
      </w:pPr>
    </w:lvl>
    <w:lvl w:ilvl="2" w:tplc="240A001B" w:tentative="1">
      <w:start w:val="1"/>
      <w:numFmt w:val="lowerRoman"/>
      <w:lvlText w:val="%3."/>
      <w:lvlJc w:val="right"/>
      <w:pPr>
        <w:ind w:left="2727" w:hanging="180"/>
      </w:pPr>
    </w:lvl>
    <w:lvl w:ilvl="3" w:tplc="240A000F" w:tentative="1">
      <w:start w:val="1"/>
      <w:numFmt w:val="decimal"/>
      <w:lvlText w:val="%4."/>
      <w:lvlJc w:val="left"/>
      <w:pPr>
        <w:ind w:left="3447" w:hanging="360"/>
      </w:pPr>
    </w:lvl>
    <w:lvl w:ilvl="4" w:tplc="240A0019" w:tentative="1">
      <w:start w:val="1"/>
      <w:numFmt w:val="lowerLetter"/>
      <w:lvlText w:val="%5."/>
      <w:lvlJc w:val="left"/>
      <w:pPr>
        <w:ind w:left="4167" w:hanging="360"/>
      </w:pPr>
    </w:lvl>
    <w:lvl w:ilvl="5" w:tplc="240A001B" w:tentative="1">
      <w:start w:val="1"/>
      <w:numFmt w:val="lowerRoman"/>
      <w:lvlText w:val="%6."/>
      <w:lvlJc w:val="right"/>
      <w:pPr>
        <w:ind w:left="4887" w:hanging="180"/>
      </w:pPr>
    </w:lvl>
    <w:lvl w:ilvl="6" w:tplc="240A000F" w:tentative="1">
      <w:start w:val="1"/>
      <w:numFmt w:val="decimal"/>
      <w:lvlText w:val="%7."/>
      <w:lvlJc w:val="left"/>
      <w:pPr>
        <w:ind w:left="5607" w:hanging="360"/>
      </w:pPr>
    </w:lvl>
    <w:lvl w:ilvl="7" w:tplc="240A0019" w:tentative="1">
      <w:start w:val="1"/>
      <w:numFmt w:val="lowerLetter"/>
      <w:lvlText w:val="%8."/>
      <w:lvlJc w:val="left"/>
      <w:pPr>
        <w:ind w:left="6327" w:hanging="360"/>
      </w:pPr>
    </w:lvl>
    <w:lvl w:ilvl="8" w:tplc="240A001B" w:tentative="1">
      <w:start w:val="1"/>
      <w:numFmt w:val="lowerRoman"/>
      <w:lvlText w:val="%9."/>
      <w:lvlJc w:val="right"/>
      <w:pPr>
        <w:ind w:left="7047" w:hanging="180"/>
      </w:pPr>
    </w:lvl>
  </w:abstractNum>
  <w:abstractNum w:abstractNumId="16" w15:restartNumberingAfterBreak="0">
    <w:nsid w:val="25642D6B"/>
    <w:multiLevelType w:val="hybridMultilevel"/>
    <w:tmpl w:val="25465DEE"/>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5B3096F"/>
    <w:multiLevelType w:val="hybridMultilevel"/>
    <w:tmpl w:val="25C2F542"/>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269F5D37"/>
    <w:multiLevelType w:val="hybridMultilevel"/>
    <w:tmpl w:val="E23A84E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2AB63ED6"/>
    <w:multiLevelType w:val="hybridMultilevel"/>
    <w:tmpl w:val="9EC80604"/>
    <w:lvl w:ilvl="0" w:tplc="580A0019">
      <w:start w:val="1"/>
      <w:numFmt w:val="lowerLetter"/>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20" w15:restartNumberingAfterBreak="0">
    <w:nsid w:val="2C711AE2"/>
    <w:multiLevelType w:val="hybridMultilevel"/>
    <w:tmpl w:val="638ED2B0"/>
    <w:lvl w:ilvl="0" w:tplc="79D43430">
      <w:start w:val="2"/>
      <w:numFmt w:val="lowerRoman"/>
      <w:lvlText w:val="%1."/>
      <w:lvlJc w:val="left"/>
      <w:pPr>
        <w:ind w:left="1080" w:hanging="720"/>
      </w:pPr>
      <w:rPr>
        <w:rFonts w:ascii="Arial" w:eastAsia="Arial" w:hAnsi="Arial"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330E4FA3"/>
    <w:multiLevelType w:val="hybridMultilevel"/>
    <w:tmpl w:val="C1766412"/>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4351675"/>
    <w:multiLevelType w:val="hybridMultilevel"/>
    <w:tmpl w:val="952AD00E"/>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360E0011"/>
    <w:multiLevelType w:val="hybridMultilevel"/>
    <w:tmpl w:val="866C62C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3666218D"/>
    <w:multiLevelType w:val="hybridMultilevel"/>
    <w:tmpl w:val="3AB6A3A2"/>
    <w:lvl w:ilvl="0" w:tplc="FE1E8094">
      <w:start w:val="1"/>
      <w:numFmt w:val="lowerLetter"/>
      <w:lvlText w:val="%1."/>
      <w:lvlJc w:val="left"/>
      <w:pPr>
        <w:ind w:left="720" w:hanging="360"/>
      </w:pPr>
      <w:rPr>
        <w:rFonts w:hint="default"/>
        <w:b w:val="0"/>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3CA261E8"/>
    <w:multiLevelType w:val="hybridMultilevel"/>
    <w:tmpl w:val="A862515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40F36597"/>
    <w:multiLevelType w:val="hybridMultilevel"/>
    <w:tmpl w:val="4762F22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45C43134"/>
    <w:multiLevelType w:val="hybridMultilevel"/>
    <w:tmpl w:val="B0A09CEC"/>
    <w:lvl w:ilvl="0" w:tplc="A40A7E10">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461C6C00"/>
    <w:multiLevelType w:val="hybridMultilevel"/>
    <w:tmpl w:val="72A48DB4"/>
    <w:lvl w:ilvl="0" w:tplc="F236C440">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468A53B7"/>
    <w:multiLevelType w:val="hybridMultilevel"/>
    <w:tmpl w:val="B530A22C"/>
    <w:lvl w:ilvl="0" w:tplc="580A0019">
      <w:start w:val="1"/>
      <w:numFmt w:val="lowerLetter"/>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30" w15:restartNumberingAfterBreak="0">
    <w:nsid w:val="4BFB2EF8"/>
    <w:multiLevelType w:val="hybridMultilevel"/>
    <w:tmpl w:val="3852F8C2"/>
    <w:lvl w:ilvl="0" w:tplc="78C0E582">
      <w:start w:val="4"/>
      <w:numFmt w:val="lowerLetter"/>
      <w:lvlText w:val="%1)"/>
      <w:lvlJc w:val="left"/>
      <w:pPr>
        <w:tabs>
          <w:tab w:val="num" w:pos="360"/>
        </w:tabs>
        <w:ind w:left="360" w:hanging="360"/>
      </w:pPr>
      <w:rPr>
        <w:rFonts w:hint="default"/>
      </w:rPr>
    </w:lvl>
    <w:lvl w:ilvl="1" w:tplc="0C0A0019" w:tentative="1">
      <w:start w:val="1"/>
      <w:numFmt w:val="lowerLetter"/>
      <w:pStyle w:val="Titulo3"/>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1" w15:restartNumberingAfterBreak="0">
    <w:nsid w:val="4F4B41BA"/>
    <w:multiLevelType w:val="hybridMultilevel"/>
    <w:tmpl w:val="03E02A02"/>
    <w:lvl w:ilvl="0" w:tplc="C5026158">
      <w:start w:val="9"/>
      <w:numFmt w:val="lowerLetter"/>
      <w:lvlText w:val="%1."/>
      <w:lvlJc w:val="left"/>
      <w:pPr>
        <w:ind w:left="720" w:hanging="360"/>
      </w:pPr>
      <w:rPr>
        <w:rFonts w:ascii="Arial" w:hAnsi="Arial"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56F8317C"/>
    <w:multiLevelType w:val="hybridMultilevel"/>
    <w:tmpl w:val="4866FD28"/>
    <w:lvl w:ilvl="0" w:tplc="580A0019">
      <w:start w:val="1"/>
      <w:numFmt w:val="lowerLetter"/>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33" w15:restartNumberingAfterBreak="0">
    <w:nsid w:val="58185221"/>
    <w:multiLevelType w:val="hybridMultilevel"/>
    <w:tmpl w:val="B19A104C"/>
    <w:lvl w:ilvl="0" w:tplc="58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587C5A4E"/>
    <w:multiLevelType w:val="multilevel"/>
    <w:tmpl w:val="86D62B70"/>
    <w:lvl w:ilvl="0">
      <w:start w:val="1"/>
      <w:numFmt w:val="bullet"/>
      <w:lvlText w:val=""/>
      <w:lvlJc w:val="left"/>
      <w:pPr>
        <w:tabs>
          <w:tab w:val="num" w:pos="360"/>
        </w:tabs>
        <w:ind w:left="360" w:hanging="360"/>
      </w:pPr>
      <w:rPr>
        <w:rFonts w:ascii="Symbol" w:hAnsi="Symbol" w:hint="default"/>
        <w:b/>
      </w:rPr>
    </w:lvl>
    <w:lvl w:ilvl="1">
      <w:start w:val="1"/>
      <w:numFmt w:val="decimal"/>
      <w:pStyle w:val="Titulo"/>
      <w:lvlText w:val="%1.%2"/>
      <w:lvlJc w:val="left"/>
      <w:pPr>
        <w:tabs>
          <w:tab w:val="num" w:pos="1070"/>
        </w:tabs>
        <w:ind w:left="107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2.%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5" w15:restartNumberingAfterBreak="0">
    <w:nsid w:val="597B0E54"/>
    <w:multiLevelType w:val="hybridMultilevel"/>
    <w:tmpl w:val="E3689496"/>
    <w:lvl w:ilvl="0" w:tplc="A40A7E10">
      <w:start w:val="1"/>
      <w:numFmt w:val="lowerRoman"/>
      <w:lvlText w:val="%1."/>
      <w:lvlJc w:val="left"/>
      <w:pPr>
        <w:ind w:left="1854" w:hanging="360"/>
      </w:pPr>
      <w:rPr>
        <w:rFonts w:hint="default"/>
      </w:rPr>
    </w:lvl>
    <w:lvl w:ilvl="1" w:tplc="240A0019" w:tentative="1">
      <w:start w:val="1"/>
      <w:numFmt w:val="lowerLetter"/>
      <w:lvlText w:val="%2."/>
      <w:lvlJc w:val="left"/>
      <w:pPr>
        <w:ind w:left="2574" w:hanging="360"/>
      </w:pPr>
    </w:lvl>
    <w:lvl w:ilvl="2" w:tplc="240A001B" w:tentative="1">
      <w:start w:val="1"/>
      <w:numFmt w:val="lowerRoman"/>
      <w:lvlText w:val="%3."/>
      <w:lvlJc w:val="right"/>
      <w:pPr>
        <w:ind w:left="3294" w:hanging="180"/>
      </w:pPr>
    </w:lvl>
    <w:lvl w:ilvl="3" w:tplc="240A000F" w:tentative="1">
      <w:start w:val="1"/>
      <w:numFmt w:val="decimal"/>
      <w:lvlText w:val="%4."/>
      <w:lvlJc w:val="left"/>
      <w:pPr>
        <w:ind w:left="4014" w:hanging="360"/>
      </w:pPr>
    </w:lvl>
    <w:lvl w:ilvl="4" w:tplc="240A0019" w:tentative="1">
      <w:start w:val="1"/>
      <w:numFmt w:val="lowerLetter"/>
      <w:lvlText w:val="%5."/>
      <w:lvlJc w:val="left"/>
      <w:pPr>
        <w:ind w:left="4734" w:hanging="360"/>
      </w:pPr>
    </w:lvl>
    <w:lvl w:ilvl="5" w:tplc="240A001B" w:tentative="1">
      <w:start w:val="1"/>
      <w:numFmt w:val="lowerRoman"/>
      <w:lvlText w:val="%6."/>
      <w:lvlJc w:val="right"/>
      <w:pPr>
        <w:ind w:left="5454" w:hanging="180"/>
      </w:pPr>
    </w:lvl>
    <w:lvl w:ilvl="6" w:tplc="240A000F" w:tentative="1">
      <w:start w:val="1"/>
      <w:numFmt w:val="decimal"/>
      <w:lvlText w:val="%7."/>
      <w:lvlJc w:val="left"/>
      <w:pPr>
        <w:ind w:left="6174" w:hanging="360"/>
      </w:pPr>
    </w:lvl>
    <w:lvl w:ilvl="7" w:tplc="240A0019" w:tentative="1">
      <w:start w:val="1"/>
      <w:numFmt w:val="lowerLetter"/>
      <w:lvlText w:val="%8."/>
      <w:lvlJc w:val="left"/>
      <w:pPr>
        <w:ind w:left="6894" w:hanging="360"/>
      </w:pPr>
    </w:lvl>
    <w:lvl w:ilvl="8" w:tplc="240A001B" w:tentative="1">
      <w:start w:val="1"/>
      <w:numFmt w:val="lowerRoman"/>
      <w:lvlText w:val="%9."/>
      <w:lvlJc w:val="right"/>
      <w:pPr>
        <w:ind w:left="7614" w:hanging="180"/>
      </w:pPr>
    </w:lvl>
  </w:abstractNum>
  <w:abstractNum w:abstractNumId="36" w15:restartNumberingAfterBreak="0">
    <w:nsid w:val="60B96C07"/>
    <w:multiLevelType w:val="hybridMultilevel"/>
    <w:tmpl w:val="EDAEBF3C"/>
    <w:lvl w:ilvl="0" w:tplc="580A0019">
      <w:start w:val="1"/>
      <w:numFmt w:val="lowerLetter"/>
      <w:lvlText w:val="%1."/>
      <w:lvlJc w:val="left"/>
      <w:pPr>
        <w:ind w:left="1070" w:hanging="71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6422D4D"/>
    <w:multiLevelType w:val="hybridMultilevel"/>
    <w:tmpl w:val="4FDC45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6FF1FC8"/>
    <w:multiLevelType w:val="hybridMultilevel"/>
    <w:tmpl w:val="E7C6304A"/>
    <w:lvl w:ilvl="0" w:tplc="580A0019">
      <w:start w:val="1"/>
      <w:numFmt w:val="lowerLetter"/>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39" w15:restartNumberingAfterBreak="0">
    <w:nsid w:val="670B4D97"/>
    <w:multiLevelType w:val="hybridMultilevel"/>
    <w:tmpl w:val="A63E4BCC"/>
    <w:lvl w:ilvl="0" w:tplc="580A0019">
      <w:start w:val="1"/>
      <w:numFmt w:val="lowerLetter"/>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40" w15:restartNumberingAfterBreak="0">
    <w:nsid w:val="6B166C55"/>
    <w:multiLevelType w:val="hybridMultilevel"/>
    <w:tmpl w:val="AC5A62B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6DC43A59"/>
    <w:multiLevelType w:val="hybridMultilevel"/>
    <w:tmpl w:val="A4F604A8"/>
    <w:lvl w:ilvl="0" w:tplc="A40A7E10">
      <w:start w:val="1"/>
      <w:numFmt w:val="lowerRoman"/>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71D0022D"/>
    <w:multiLevelType w:val="hybridMultilevel"/>
    <w:tmpl w:val="29B42C30"/>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15:restartNumberingAfterBreak="0">
    <w:nsid w:val="72CE2A1A"/>
    <w:multiLevelType w:val="hybridMultilevel"/>
    <w:tmpl w:val="9F4493CA"/>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15:restartNumberingAfterBreak="0">
    <w:nsid w:val="738514E7"/>
    <w:multiLevelType w:val="hybridMultilevel"/>
    <w:tmpl w:val="1F740CB2"/>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15:restartNumberingAfterBreak="0">
    <w:nsid w:val="76C94C03"/>
    <w:multiLevelType w:val="multilevel"/>
    <w:tmpl w:val="0C0A001D"/>
    <w:styleLink w:val="Estilo1"/>
    <w:lvl w:ilvl="0">
      <w:start w:val="1"/>
      <w:numFmt w:val="lowerRoman"/>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788E3E97"/>
    <w:multiLevelType w:val="hybridMultilevel"/>
    <w:tmpl w:val="E2C096B6"/>
    <w:lvl w:ilvl="0" w:tplc="8FF87E6E">
      <w:start w:val="1"/>
      <w:numFmt w:val="lowerRoman"/>
      <w:lvlText w:val="(%1)"/>
      <w:lvlJc w:val="left"/>
      <w:pPr>
        <w:ind w:left="1080" w:hanging="720"/>
      </w:pPr>
      <w:rPr>
        <w:rFonts w:ascii="Arial" w:hAnsi="Arial" w:cs="Arial" w:hint="default"/>
        <w:b/>
        <w:sz w:val="18"/>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7" w15:restartNumberingAfterBreak="0">
    <w:nsid w:val="7B2059B7"/>
    <w:multiLevelType w:val="hybridMultilevel"/>
    <w:tmpl w:val="2B9C4AE2"/>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880435568">
    <w:abstractNumId w:val="45"/>
  </w:num>
  <w:num w:numId="2" w16cid:durableId="1362513633">
    <w:abstractNumId w:val="0"/>
  </w:num>
  <w:num w:numId="3" w16cid:durableId="640697657">
    <w:abstractNumId w:val="34"/>
  </w:num>
  <w:num w:numId="4" w16cid:durableId="1447387446">
    <w:abstractNumId w:val="30"/>
  </w:num>
  <w:num w:numId="5" w16cid:durableId="833301108">
    <w:abstractNumId w:val="32"/>
  </w:num>
  <w:num w:numId="6" w16cid:durableId="2090929540">
    <w:abstractNumId w:val="19"/>
  </w:num>
  <w:num w:numId="7" w16cid:durableId="1840539712">
    <w:abstractNumId w:val="14"/>
  </w:num>
  <w:num w:numId="8" w16cid:durableId="2053842636">
    <w:abstractNumId w:val="12"/>
  </w:num>
  <w:num w:numId="9" w16cid:durableId="232200126">
    <w:abstractNumId w:val="36"/>
  </w:num>
  <w:num w:numId="10" w16cid:durableId="495074258">
    <w:abstractNumId w:val="10"/>
  </w:num>
  <w:num w:numId="11" w16cid:durableId="536310083">
    <w:abstractNumId w:val="39"/>
  </w:num>
  <w:num w:numId="12" w16cid:durableId="508757134">
    <w:abstractNumId w:val="38"/>
  </w:num>
  <w:num w:numId="13" w16cid:durableId="464201708">
    <w:abstractNumId w:val="29"/>
  </w:num>
  <w:num w:numId="14" w16cid:durableId="43870998">
    <w:abstractNumId w:val="37"/>
  </w:num>
  <w:num w:numId="15" w16cid:durableId="1944994051">
    <w:abstractNumId w:val="46"/>
  </w:num>
  <w:num w:numId="16" w16cid:durableId="25374148">
    <w:abstractNumId w:val="28"/>
  </w:num>
  <w:num w:numId="17" w16cid:durableId="1180849110">
    <w:abstractNumId w:val="18"/>
  </w:num>
  <w:num w:numId="18" w16cid:durableId="237521309">
    <w:abstractNumId w:val="33"/>
  </w:num>
  <w:num w:numId="19" w16cid:durableId="1056901412">
    <w:abstractNumId w:val="27"/>
  </w:num>
  <w:num w:numId="20" w16cid:durableId="1903639164">
    <w:abstractNumId w:val="31"/>
  </w:num>
  <w:num w:numId="21" w16cid:durableId="1412115346">
    <w:abstractNumId w:val="20"/>
  </w:num>
  <w:num w:numId="22" w16cid:durableId="865405447">
    <w:abstractNumId w:val="35"/>
  </w:num>
  <w:num w:numId="23" w16cid:durableId="1967008670">
    <w:abstractNumId w:val="7"/>
  </w:num>
  <w:num w:numId="24" w16cid:durableId="862595650">
    <w:abstractNumId w:val="41"/>
  </w:num>
  <w:num w:numId="25" w16cid:durableId="1445417621">
    <w:abstractNumId w:val="42"/>
  </w:num>
  <w:num w:numId="26" w16cid:durableId="861943917">
    <w:abstractNumId w:val="44"/>
  </w:num>
  <w:num w:numId="27" w16cid:durableId="1888494506">
    <w:abstractNumId w:val="43"/>
  </w:num>
  <w:num w:numId="28" w16cid:durableId="1179736096">
    <w:abstractNumId w:val="6"/>
  </w:num>
  <w:num w:numId="29" w16cid:durableId="2044211084">
    <w:abstractNumId w:val="23"/>
  </w:num>
  <w:num w:numId="30" w16cid:durableId="1089078256">
    <w:abstractNumId w:val="25"/>
  </w:num>
  <w:num w:numId="31" w16cid:durableId="1416125275">
    <w:abstractNumId w:val="40"/>
  </w:num>
  <w:num w:numId="32" w16cid:durableId="116022502">
    <w:abstractNumId w:val="13"/>
  </w:num>
  <w:num w:numId="33" w16cid:durableId="684214807">
    <w:abstractNumId w:val="16"/>
  </w:num>
  <w:num w:numId="34" w16cid:durableId="1889804266">
    <w:abstractNumId w:val="1"/>
  </w:num>
  <w:num w:numId="35" w16cid:durableId="526991110">
    <w:abstractNumId w:val="47"/>
  </w:num>
  <w:num w:numId="36" w16cid:durableId="1659070884">
    <w:abstractNumId w:val="5"/>
  </w:num>
  <w:num w:numId="37" w16cid:durableId="1515725860">
    <w:abstractNumId w:val="17"/>
  </w:num>
  <w:num w:numId="38" w16cid:durableId="541989066">
    <w:abstractNumId w:val="22"/>
  </w:num>
  <w:num w:numId="39" w16cid:durableId="1551304073">
    <w:abstractNumId w:val="11"/>
  </w:num>
  <w:num w:numId="40" w16cid:durableId="362050955">
    <w:abstractNumId w:val="15"/>
  </w:num>
  <w:num w:numId="41" w16cid:durableId="1998419275">
    <w:abstractNumId w:val="9"/>
  </w:num>
  <w:num w:numId="42" w16cid:durableId="259266544">
    <w:abstractNumId w:val="4"/>
  </w:num>
  <w:num w:numId="43" w16cid:durableId="31003029">
    <w:abstractNumId w:val="21"/>
  </w:num>
  <w:num w:numId="44" w16cid:durableId="866721060">
    <w:abstractNumId w:val="26"/>
  </w:num>
  <w:num w:numId="45" w16cid:durableId="189874600">
    <w:abstractNumId w:val="2"/>
  </w:num>
  <w:num w:numId="46" w16cid:durableId="895164490">
    <w:abstractNumId w:val="3"/>
  </w:num>
  <w:num w:numId="47" w16cid:durableId="1974477233">
    <w:abstractNumId w:val="8"/>
  </w:num>
  <w:num w:numId="48" w16cid:durableId="770005219">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D85"/>
    <w:rsid w:val="000001A2"/>
    <w:rsid w:val="00001A9E"/>
    <w:rsid w:val="0000354E"/>
    <w:rsid w:val="00010F88"/>
    <w:rsid w:val="00014A1C"/>
    <w:rsid w:val="00014BB6"/>
    <w:rsid w:val="00014CCB"/>
    <w:rsid w:val="00026FFA"/>
    <w:rsid w:val="000335EB"/>
    <w:rsid w:val="0003598E"/>
    <w:rsid w:val="0004376C"/>
    <w:rsid w:val="00045B23"/>
    <w:rsid w:val="00050EE4"/>
    <w:rsid w:val="00051DCF"/>
    <w:rsid w:val="00051E30"/>
    <w:rsid w:val="00057BF6"/>
    <w:rsid w:val="00061EF1"/>
    <w:rsid w:val="00064243"/>
    <w:rsid w:val="0006670E"/>
    <w:rsid w:val="0006736C"/>
    <w:rsid w:val="0007105F"/>
    <w:rsid w:val="000728A8"/>
    <w:rsid w:val="00081478"/>
    <w:rsid w:val="00082012"/>
    <w:rsid w:val="00082B09"/>
    <w:rsid w:val="00086463"/>
    <w:rsid w:val="00086889"/>
    <w:rsid w:val="000A02EA"/>
    <w:rsid w:val="000A0C92"/>
    <w:rsid w:val="000A1355"/>
    <w:rsid w:val="000A1526"/>
    <w:rsid w:val="000A2AD0"/>
    <w:rsid w:val="000A2B5A"/>
    <w:rsid w:val="000B12CF"/>
    <w:rsid w:val="000B72B0"/>
    <w:rsid w:val="000C0B88"/>
    <w:rsid w:val="000C1899"/>
    <w:rsid w:val="000C7CCB"/>
    <w:rsid w:val="000D380A"/>
    <w:rsid w:val="000D5724"/>
    <w:rsid w:val="000D7DD6"/>
    <w:rsid w:val="000E21A0"/>
    <w:rsid w:val="000E530A"/>
    <w:rsid w:val="000F240F"/>
    <w:rsid w:val="000F2489"/>
    <w:rsid w:val="000F336D"/>
    <w:rsid w:val="000F5757"/>
    <w:rsid w:val="000F57DF"/>
    <w:rsid w:val="000F66D4"/>
    <w:rsid w:val="000F7FCF"/>
    <w:rsid w:val="001003F5"/>
    <w:rsid w:val="0010081A"/>
    <w:rsid w:val="00101AF1"/>
    <w:rsid w:val="00103276"/>
    <w:rsid w:val="001035A9"/>
    <w:rsid w:val="00105A03"/>
    <w:rsid w:val="0011299A"/>
    <w:rsid w:val="00114B98"/>
    <w:rsid w:val="00116005"/>
    <w:rsid w:val="001162C7"/>
    <w:rsid w:val="0012218F"/>
    <w:rsid w:val="001227EA"/>
    <w:rsid w:val="00124C3F"/>
    <w:rsid w:val="00131A64"/>
    <w:rsid w:val="001356B1"/>
    <w:rsid w:val="00137D98"/>
    <w:rsid w:val="0014104C"/>
    <w:rsid w:val="00144573"/>
    <w:rsid w:val="00147830"/>
    <w:rsid w:val="001512A8"/>
    <w:rsid w:val="00151B6C"/>
    <w:rsid w:val="001549EB"/>
    <w:rsid w:val="0015655D"/>
    <w:rsid w:val="0016266E"/>
    <w:rsid w:val="00165598"/>
    <w:rsid w:val="00165D67"/>
    <w:rsid w:val="001665FB"/>
    <w:rsid w:val="001726C8"/>
    <w:rsid w:val="001742C4"/>
    <w:rsid w:val="00174EEC"/>
    <w:rsid w:val="00175A00"/>
    <w:rsid w:val="0018575D"/>
    <w:rsid w:val="00186B0E"/>
    <w:rsid w:val="00187051"/>
    <w:rsid w:val="001A1549"/>
    <w:rsid w:val="001A3A39"/>
    <w:rsid w:val="001B4F62"/>
    <w:rsid w:val="001B5187"/>
    <w:rsid w:val="001C034F"/>
    <w:rsid w:val="001C2ADF"/>
    <w:rsid w:val="001C47E5"/>
    <w:rsid w:val="001C51AA"/>
    <w:rsid w:val="001C588A"/>
    <w:rsid w:val="001C6F91"/>
    <w:rsid w:val="001D0677"/>
    <w:rsid w:val="001D1DB5"/>
    <w:rsid w:val="001D5FE4"/>
    <w:rsid w:val="001E0F92"/>
    <w:rsid w:val="001E1768"/>
    <w:rsid w:val="001E1F99"/>
    <w:rsid w:val="001F040C"/>
    <w:rsid w:val="001F0925"/>
    <w:rsid w:val="001F16EF"/>
    <w:rsid w:val="001F3EF7"/>
    <w:rsid w:val="0020607C"/>
    <w:rsid w:val="002116D5"/>
    <w:rsid w:val="002116DA"/>
    <w:rsid w:val="0021666A"/>
    <w:rsid w:val="0021723B"/>
    <w:rsid w:val="002268CB"/>
    <w:rsid w:val="002268EF"/>
    <w:rsid w:val="0023407B"/>
    <w:rsid w:val="00235246"/>
    <w:rsid w:val="00236C8F"/>
    <w:rsid w:val="00237666"/>
    <w:rsid w:val="002401F2"/>
    <w:rsid w:val="0024091D"/>
    <w:rsid w:val="00240AF9"/>
    <w:rsid w:val="002419F0"/>
    <w:rsid w:val="00257EDC"/>
    <w:rsid w:val="00257F18"/>
    <w:rsid w:val="00261888"/>
    <w:rsid w:val="0026292C"/>
    <w:rsid w:val="0026462C"/>
    <w:rsid w:val="0027392D"/>
    <w:rsid w:val="002742AF"/>
    <w:rsid w:val="00275639"/>
    <w:rsid w:val="00291014"/>
    <w:rsid w:val="0029544F"/>
    <w:rsid w:val="002970C4"/>
    <w:rsid w:val="00297C90"/>
    <w:rsid w:val="00297F60"/>
    <w:rsid w:val="002A003E"/>
    <w:rsid w:val="002A0556"/>
    <w:rsid w:val="002A1253"/>
    <w:rsid w:val="002A363F"/>
    <w:rsid w:val="002B3FC7"/>
    <w:rsid w:val="002B4F4A"/>
    <w:rsid w:val="002C0527"/>
    <w:rsid w:val="002C0A9B"/>
    <w:rsid w:val="002C1797"/>
    <w:rsid w:val="002C2560"/>
    <w:rsid w:val="002C25CD"/>
    <w:rsid w:val="002C4299"/>
    <w:rsid w:val="002C7CEE"/>
    <w:rsid w:val="002D03FB"/>
    <w:rsid w:val="002E0E78"/>
    <w:rsid w:val="002E1504"/>
    <w:rsid w:val="002E40AA"/>
    <w:rsid w:val="002E4D8C"/>
    <w:rsid w:val="002E5330"/>
    <w:rsid w:val="002E7010"/>
    <w:rsid w:val="002F090B"/>
    <w:rsid w:val="002F179A"/>
    <w:rsid w:val="002F4530"/>
    <w:rsid w:val="002F474E"/>
    <w:rsid w:val="002F5CF4"/>
    <w:rsid w:val="00307FF8"/>
    <w:rsid w:val="00310409"/>
    <w:rsid w:val="003114EA"/>
    <w:rsid w:val="00314233"/>
    <w:rsid w:val="00316691"/>
    <w:rsid w:val="00316B55"/>
    <w:rsid w:val="003210A2"/>
    <w:rsid w:val="00323C1A"/>
    <w:rsid w:val="0032658A"/>
    <w:rsid w:val="0033541E"/>
    <w:rsid w:val="003422D1"/>
    <w:rsid w:val="00344CA1"/>
    <w:rsid w:val="00346D62"/>
    <w:rsid w:val="00347D9B"/>
    <w:rsid w:val="00350D57"/>
    <w:rsid w:val="00355F51"/>
    <w:rsid w:val="003613EE"/>
    <w:rsid w:val="0036407F"/>
    <w:rsid w:val="00364766"/>
    <w:rsid w:val="003649CF"/>
    <w:rsid w:val="00364D84"/>
    <w:rsid w:val="00371397"/>
    <w:rsid w:val="00374B15"/>
    <w:rsid w:val="00375829"/>
    <w:rsid w:val="00381CEF"/>
    <w:rsid w:val="00382E0D"/>
    <w:rsid w:val="00383410"/>
    <w:rsid w:val="00384A79"/>
    <w:rsid w:val="003928EA"/>
    <w:rsid w:val="00392BEC"/>
    <w:rsid w:val="003A0E10"/>
    <w:rsid w:val="003A26F5"/>
    <w:rsid w:val="003A3EF5"/>
    <w:rsid w:val="003A5CFE"/>
    <w:rsid w:val="003A649A"/>
    <w:rsid w:val="003A6579"/>
    <w:rsid w:val="003B09E1"/>
    <w:rsid w:val="003B12D0"/>
    <w:rsid w:val="003B3B2C"/>
    <w:rsid w:val="003B57C8"/>
    <w:rsid w:val="003B6004"/>
    <w:rsid w:val="003C558F"/>
    <w:rsid w:val="003D01AD"/>
    <w:rsid w:val="003E051D"/>
    <w:rsid w:val="003E0B2D"/>
    <w:rsid w:val="003E2FE4"/>
    <w:rsid w:val="003E3D74"/>
    <w:rsid w:val="003F033C"/>
    <w:rsid w:val="003F1772"/>
    <w:rsid w:val="003F5150"/>
    <w:rsid w:val="003F5978"/>
    <w:rsid w:val="00400AC0"/>
    <w:rsid w:val="0040241A"/>
    <w:rsid w:val="0040498E"/>
    <w:rsid w:val="00405030"/>
    <w:rsid w:val="00406D2B"/>
    <w:rsid w:val="00422F6D"/>
    <w:rsid w:val="00427537"/>
    <w:rsid w:val="00427724"/>
    <w:rsid w:val="0042785C"/>
    <w:rsid w:val="00430817"/>
    <w:rsid w:val="00431B88"/>
    <w:rsid w:val="0043223D"/>
    <w:rsid w:val="004342C4"/>
    <w:rsid w:val="004362B9"/>
    <w:rsid w:val="00437AF2"/>
    <w:rsid w:val="00442F14"/>
    <w:rsid w:val="00453567"/>
    <w:rsid w:val="0045370C"/>
    <w:rsid w:val="004604AC"/>
    <w:rsid w:val="00463CF8"/>
    <w:rsid w:val="00466D94"/>
    <w:rsid w:val="00473068"/>
    <w:rsid w:val="00473B77"/>
    <w:rsid w:val="00475E72"/>
    <w:rsid w:val="00476C25"/>
    <w:rsid w:val="00483FAA"/>
    <w:rsid w:val="00484E2F"/>
    <w:rsid w:val="004856FA"/>
    <w:rsid w:val="004861CD"/>
    <w:rsid w:val="00486C07"/>
    <w:rsid w:val="00490260"/>
    <w:rsid w:val="00490530"/>
    <w:rsid w:val="00491EC8"/>
    <w:rsid w:val="004925D5"/>
    <w:rsid w:val="0049336B"/>
    <w:rsid w:val="00493D28"/>
    <w:rsid w:val="00494773"/>
    <w:rsid w:val="00494943"/>
    <w:rsid w:val="00494C28"/>
    <w:rsid w:val="004A39F9"/>
    <w:rsid w:val="004B0786"/>
    <w:rsid w:val="004B1748"/>
    <w:rsid w:val="004B2F35"/>
    <w:rsid w:val="004B5FF8"/>
    <w:rsid w:val="004C068B"/>
    <w:rsid w:val="004C14C2"/>
    <w:rsid w:val="004C57F3"/>
    <w:rsid w:val="004C7C29"/>
    <w:rsid w:val="004D4705"/>
    <w:rsid w:val="004D4C0C"/>
    <w:rsid w:val="004E1A64"/>
    <w:rsid w:val="004E2AED"/>
    <w:rsid w:val="004E5474"/>
    <w:rsid w:val="004F6439"/>
    <w:rsid w:val="005053C2"/>
    <w:rsid w:val="00510DB6"/>
    <w:rsid w:val="0051226D"/>
    <w:rsid w:val="0051673E"/>
    <w:rsid w:val="005171C2"/>
    <w:rsid w:val="00520D80"/>
    <w:rsid w:val="00521CA9"/>
    <w:rsid w:val="0052278B"/>
    <w:rsid w:val="005229B3"/>
    <w:rsid w:val="00522EB2"/>
    <w:rsid w:val="00525C6F"/>
    <w:rsid w:val="00526415"/>
    <w:rsid w:val="005264A3"/>
    <w:rsid w:val="00526F20"/>
    <w:rsid w:val="00532440"/>
    <w:rsid w:val="00543901"/>
    <w:rsid w:val="00544A86"/>
    <w:rsid w:val="0055078B"/>
    <w:rsid w:val="00554273"/>
    <w:rsid w:val="0055480C"/>
    <w:rsid w:val="005567FF"/>
    <w:rsid w:val="0055785C"/>
    <w:rsid w:val="005609BC"/>
    <w:rsid w:val="00564B9E"/>
    <w:rsid w:val="00566CCA"/>
    <w:rsid w:val="005676A0"/>
    <w:rsid w:val="0057212D"/>
    <w:rsid w:val="00573333"/>
    <w:rsid w:val="00575D43"/>
    <w:rsid w:val="00577CD3"/>
    <w:rsid w:val="005816C3"/>
    <w:rsid w:val="0058176B"/>
    <w:rsid w:val="0058263B"/>
    <w:rsid w:val="00585C9A"/>
    <w:rsid w:val="0058723C"/>
    <w:rsid w:val="0059607C"/>
    <w:rsid w:val="00596519"/>
    <w:rsid w:val="00596B88"/>
    <w:rsid w:val="005A1BE1"/>
    <w:rsid w:val="005B459E"/>
    <w:rsid w:val="005B5220"/>
    <w:rsid w:val="005B7BCB"/>
    <w:rsid w:val="005C44FC"/>
    <w:rsid w:val="005C5763"/>
    <w:rsid w:val="005D2044"/>
    <w:rsid w:val="005D218A"/>
    <w:rsid w:val="005E2120"/>
    <w:rsid w:val="005E28BD"/>
    <w:rsid w:val="005E3284"/>
    <w:rsid w:val="005E57AE"/>
    <w:rsid w:val="005E647D"/>
    <w:rsid w:val="005E6F71"/>
    <w:rsid w:val="005E7D2C"/>
    <w:rsid w:val="005F175F"/>
    <w:rsid w:val="005F53E7"/>
    <w:rsid w:val="005F7BED"/>
    <w:rsid w:val="006132E0"/>
    <w:rsid w:val="0061423F"/>
    <w:rsid w:val="00620A56"/>
    <w:rsid w:val="00622997"/>
    <w:rsid w:val="00625919"/>
    <w:rsid w:val="00626451"/>
    <w:rsid w:val="006265E6"/>
    <w:rsid w:val="006269DA"/>
    <w:rsid w:val="00626EC1"/>
    <w:rsid w:val="006302BB"/>
    <w:rsid w:val="00630687"/>
    <w:rsid w:val="00632F71"/>
    <w:rsid w:val="006331DE"/>
    <w:rsid w:val="006345E2"/>
    <w:rsid w:val="00635DE2"/>
    <w:rsid w:val="006378A4"/>
    <w:rsid w:val="00637EB2"/>
    <w:rsid w:val="00641C68"/>
    <w:rsid w:val="0064512E"/>
    <w:rsid w:val="00647188"/>
    <w:rsid w:val="00647A6C"/>
    <w:rsid w:val="00651CFF"/>
    <w:rsid w:val="0065284D"/>
    <w:rsid w:val="00652B30"/>
    <w:rsid w:val="00654959"/>
    <w:rsid w:val="00657576"/>
    <w:rsid w:val="006578E6"/>
    <w:rsid w:val="00661719"/>
    <w:rsid w:val="00661C77"/>
    <w:rsid w:val="0066311B"/>
    <w:rsid w:val="006632DC"/>
    <w:rsid w:val="00670734"/>
    <w:rsid w:val="00671C76"/>
    <w:rsid w:val="00676325"/>
    <w:rsid w:val="00676BDF"/>
    <w:rsid w:val="00681902"/>
    <w:rsid w:val="00683269"/>
    <w:rsid w:val="00684047"/>
    <w:rsid w:val="0069100E"/>
    <w:rsid w:val="00695906"/>
    <w:rsid w:val="0069609C"/>
    <w:rsid w:val="006A0A90"/>
    <w:rsid w:val="006A3ABA"/>
    <w:rsid w:val="006A7306"/>
    <w:rsid w:val="006A7B99"/>
    <w:rsid w:val="006B0383"/>
    <w:rsid w:val="006B0B1E"/>
    <w:rsid w:val="006B0E40"/>
    <w:rsid w:val="006B0F97"/>
    <w:rsid w:val="006B11D4"/>
    <w:rsid w:val="006B3B40"/>
    <w:rsid w:val="006C228B"/>
    <w:rsid w:val="006C2C66"/>
    <w:rsid w:val="006C4D50"/>
    <w:rsid w:val="006C6B84"/>
    <w:rsid w:val="006D1FCA"/>
    <w:rsid w:val="006D221A"/>
    <w:rsid w:val="006D766D"/>
    <w:rsid w:val="006E0251"/>
    <w:rsid w:val="006E4EC4"/>
    <w:rsid w:val="006E7149"/>
    <w:rsid w:val="006E7CCF"/>
    <w:rsid w:val="006F293B"/>
    <w:rsid w:val="006F527B"/>
    <w:rsid w:val="0070017B"/>
    <w:rsid w:val="00703425"/>
    <w:rsid w:val="007147FC"/>
    <w:rsid w:val="00721D02"/>
    <w:rsid w:val="00722A69"/>
    <w:rsid w:val="00723BF8"/>
    <w:rsid w:val="00724C8B"/>
    <w:rsid w:val="00730B64"/>
    <w:rsid w:val="00732F49"/>
    <w:rsid w:val="00735A47"/>
    <w:rsid w:val="007441B8"/>
    <w:rsid w:val="0074476A"/>
    <w:rsid w:val="00746407"/>
    <w:rsid w:val="007577E5"/>
    <w:rsid w:val="0076136F"/>
    <w:rsid w:val="007659F2"/>
    <w:rsid w:val="0076651A"/>
    <w:rsid w:val="007678F2"/>
    <w:rsid w:val="00772D41"/>
    <w:rsid w:val="0077362D"/>
    <w:rsid w:val="0077634F"/>
    <w:rsid w:val="007862CC"/>
    <w:rsid w:val="007903D1"/>
    <w:rsid w:val="007974D9"/>
    <w:rsid w:val="007A0885"/>
    <w:rsid w:val="007A1137"/>
    <w:rsid w:val="007A1EE2"/>
    <w:rsid w:val="007A302E"/>
    <w:rsid w:val="007A4231"/>
    <w:rsid w:val="007A6A0A"/>
    <w:rsid w:val="007B2CD5"/>
    <w:rsid w:val="007B3698"/>
    <w:rsid w:val="007B75F9"/>
    <w:rsid w:val="007C08FC"/>
    <w:rsid w:val="007C276E"/>
    <w:rsid w:val="007C673F"/>
    <w:rsid w:val="007C6CD1"/>
    <w:rsid w:val="007C7D3A"/>
    <w:rsid w:val="007D16BF"/>
    <w:rsid w:val="007D2DDE"/>
    <w:rsid w:val="007D4332"/>
    <w:rsid w:val="007D648E"/>
    <w:rsid w:val="007D6A7A"/>
    <w:rsid w:val="007E61F5"/>
    <w:rsid w:val="007F00B4"/>
    <w:rsid w:val="007F5CE9"/>
    <w:rsid w:val="007F6718"/>
    <w:rsid w:val="008011DC"/>
    <w:rsid w:val="0080177D"/>
    <w:rsid w:val="00803053"/>
    <w:rsid w:val="008038CC"/>
    <w:rsid w:val="00803FF4"/>
    <w:rsid w:val="008143BD"/>
    <w:rsid w:val="00814639"/>
    <w:rsid w:val="00817B3B"/>
    <w:rsid w:val="0082329A"/>
    <w:rsid w:val="0082448B"/>
    <w:rsid w:val="008251BF"/>
    <w:rsid w:val="00832408"/>
    <w:rsid w:val="00832BEC"/>
    <w:rsid w:val="00852379"/>
    <w:rsid w:val="00854FD6"/>
    <w:rsid w:val="00855AB8"/>
    <w:rsid w:val="008617EC"/>
    <w:rsid w:val="00861C79"/>
    <w:rsid w:val="00866023"/>
    <w:rsid w:val="00870BB5"/>
    <w:rsid w:val="00870F7C"/>
    <w:rsid w:val="00886509"/>
    <w:rsid w:val="00893AAF"/>
    <w:rsid w:val="0089728B"/>
    <w:rsid w:val="008A5A1F"/>
    <w:rsid w:val="008A7193"/>
    <w:rsid w:val="008A7B53"/>
    <w:rsid w:val="008B0DBF"/>
    <w:rsid w:val="008B26AF"/>
    <w:rsid w:val="008B34F9"/>
    <w:rsid w:val="008B63CE"/>
    <w:rsid w:val="008C1F56"/>
    <w:rsid w:val="008D331B"/>
    <w:rsid w:val="008D7390"/>
    <w:rsid w:val="008D745C"/>
    <w:rsid w:val="008E002B"/>
    <w:rsid w:val="008E23CE"/>
    <w:rsid w:val="008F680C"/>
    <w:rsid w:val="008F6B84"/>
    <w:rsid w:val="008F752E"/>
    <w:rsid w:val="00905764"/>
    <w:rsid w:val="00905AB8"/>
    <w:rsid w:val="00912913"/>
    <w:rsid w:val="009162F3"/>
    <w:rsid w:val="0092021A"/>
    <w:rsid w:val="00920742"/>
    <w:rsid w:val="0092157A"/>
    <w:rsid w:val="00921C30"/>
    <w:rsid w:val="009230DC"/>
    <w:rsid w:val="009268D7"/>
    <w:rsid w:val="00927C4E"/>
    <w:rsid w:val="0093260F"/>
    <w:rsid w:val="00932C6D"/>
    <w:rsid w:val="00933DA5"/>
    <w:rsid w:val="0093695F"/>
    <w:rsid w:val="00941353"/>
    <w:rsid w:val="009438A5"/>
    <w:rsid w:val="00946033"/>
    <w:rsid w:val="00951310"/>
    <w:rsid w:val="00951796"/>
    <w:rsid w:val="009524E2"/>
    <w:rsid w:val="00953187"/>
    <w:rsid w:val="00954483"/>
    <w:rsid w:val="0095450E"/>
    <w:rsid w:val="00954D69"/>
    <w:rsid w:val="00955E84"/>
    <w:rsid w:val="00956EC8"/>
    <w:rsid w:val="009571FD"/>
    <w:rsid w:val="0096077B"/>
    <w:rsid w:val="00960EA0"/>
    <w:rsid w:val="00961180"/>
    <w:rsid w:val="00962826"/>
    <w:rsid w:val="009715E9"/>
    <w:rsid w:val="009720B3"/>
    <w:rsid w:val="00976992"/>
    <w:rsid w:val="00980CE4"/>
    <w:rsid w:val="00986214"/>
    <w:rsid w:val="0098771A"/>
    <w:rsid w:val="0099052C"/>
    <w:rsid w:val="00992A50"/>
    <w:rsid w:val="009931AD"/>
    <w:rsid w:val="009A2543"/>
    <w:rsid w:val="009A2823"/>
    <w:rsid w:val="009A346C"/>
    <w:rsid w:val="009A3852"/>
    <w:rsid w:val="009A56A2"/>
    <w:rsid w:val="009A774A"/>
    <w:rsid w:val="009B4616"/>
    <w:rsid w:val="009B6D85"/>
    <w:rsid w:val="009B76D5"/>
    <w:rsid w:val="009C3F82"/>
    <w:rsid w:val="009C7E51"/>
    <w:rsid w:val="009D2CB8"/>
    <w:rsid w:val="009D5305"/>
    <w:rsid w:val="009D6127"/>
    <w:rsid w:val="009E214A"/>
    <w:rsid w:val="009E2CE9"/>
    <w:rsid w:val="009E2F72"/>
    <w:rsid w:val="009E4136"/>
    <w:rsid w:val="009E5194"/>
    <w:rsid w:val="009E60FA"/>
    <w:rsid w:val="009F5C0E"/>
    <w:rsid w:val="009F7BC8"/>
    <w:rsid w:val="00A05B0D"/>
    <w:rsid w:val="00A13C94"/>
    <w:rsid w:val="00A14410"/>
    <w:rsid w:val="00A2572F"/>
    <w:rsid w:val="00A25C70"/>
    <w:rsid w:val="00A31E7D"/>
    <w:rsid w:val="00A417B9"/>
    <w:rsid w:val="00A41E5E"/>
    <w:rsid w:val="00A4257B"/>
    <w:rsid w:val="00A460A3"/>
    <w:rsid w:val="00A46363"/>
    <w:rsid w:val="00A53C57"/>
    <w:rsid w:val="00A545B9"/>
    <w:rsid w:val="00A549D2"/>
    <w:rsid w:val="00A619F6"/>
    <w:rsid w:val="00A63577"/>
    <w:rsid w:val="00A67759"/>
    <w:rsid w:val="00A7182F"/>
    <w:rsid w:val="00A75533"/>
    <w:rsid w:val="00A802DA"/>
    <w:rsid w:val="00A83FD4"/>
    <w:rsid w:val="00A84EB0"/>
    <w:rsid w:val="00A854F3"/>
    <w:rsid w:val="00A87AE4"/>
    <w:rsid w:val="00A91BD2"/>
    <w:rsid w:val="00A91ECE"/>
    <w:rsid w:val="00A9232C"/>
    <w:rsid w:val="00A94AF6"/>
    <w:rsid w:val="00A94C4F"/>
    <w:rsid w:val="00A9794F"/>
    <w:rsid w:val="00AA0734"/>
    <w:rsid w:val="00AA099B"/>
    <w:rsid w:val="00AA3026"/>
    <w:rsid w:val="00AB04A4"/>
    <w:rsid w:val="00AB0D75"/>
    <w:rsid w:val="00AB1614"/>
    <w:rsid w:val="00AC04F9"/>
    <w:rsid w:val="00AC232E"/>
    <w:rsid w:val="00AC35FA"/>
    <w:rsid w:val="00AD0BC1"/>
    <w:rsid w:val="00AD2017"/>
    <w:rsid w:val="00AD230F"/>
    <w:rsid w:val="00AD5780"/>
    <w:rsid w:val="00AD5D00"/>
    <w:rsid w:val="00AE5B23"/>
    <w:rsid w:val="00AF06DB"/>
    <w:rsid w:val="00AF072F"/>
    <w:rsid w:val="00AF3D8F"/>
    <w:rsid w:val="00AF443C"/>
    <w:rsid w:val="00AF52A2"/>
    <w:rsid w:val="00B0094C"/>
    <w:rsid w:val="00B028C4"/>
    <w:rsid w:val="00B0602B"/>
    <w:rsid w:val="00B116B6"/>
    <w:rsid w:val="00B1310B"/>
    <w:rsid w:val="00B16823"/>
    <w:rsid w:val="00B23EF9"/>
    <w:rsid w:val="00B27B30"/>
    <w:rsid w:val="00B27D8F"/>
    <w:rsid w:val="00B3143F"/>
    <w:rsid w:val="00B32761"/>
    <w:rsid w:val="00B34265"/>
    <w:rsid w:val="00B359AB"/>
    <w:rsid w:val="00B35D51"/>
    <w:rsid w:val="00B360C5"/>
    <w:rsid w:val="00B41927"/>
    <w:rsid w:val="00B50701"/>
    <w:rsid w:val="00B52BC8"/>
    <w:rsid w:val="00B549E6"/>
    <w:rsid w:val="00B55E91"/>
    <w:rsid w:val="00B56912"/>
    <w:rsid w:val="00B57295"/>
    <w:rsid w:val="00B61901"/>
    <w:rsid w:val="00B631A6"/>
    <w:rsid w:val="00B643A3"/>
    <w:rsid w:val="00B64BD8"/>
    <w:rsid w:val="00B651DD"/>
    <w:rsid w:val="00B6603E"/>
    <w:rsid w:val="00B66E6C"/>
    <w:rsid w:val="00B702EF"/>
    <w:rsid w:val="00B752F4"/>
    <w:rsid w:val="00B75835"/>
    <w:rsid w:val="00B76473"/>
    <w:rsid w:val="00B84577"/>
    <w:rsid w:val="00B85F73"/>
    <w:rsid w:val="00B86729"/>
    <w:rsid w:val="00B907BA"/>
    <w:rsid w:val="00B92519"/>
    <w:rsid w:val="00B93EF3"/>
    <w:rsid w:val="00BA101A"/>
    <w:rsid w:val="00BA1FD6"/>
    <w:rsid w:val="00BA2715"/>
    <w:rsid w:val="00BA3904"/>
    <w:rsid w:val="00BA555C"/>
    <w:rsid w:val="00BB5D0B"/>
    <w:rsid w:val="00BC14BF"/>
    <w:rsid w:val="00BE0D64"/>
    <w:rsid w:val="00BE21A6"/>
    <w:rsid w:val="00BF100C"/>
    <w:rsid w:val="00BF20C6"/>
    <w:rsid w:val="00BF28FE"/>
    <w:rsid w:val="00C00EFA"/>
    <w:rsid w:val="00C016BF"/>
    <w:rsid w:val="00C0203D"/>
    <w:rsid w:val="00C05284"/>
    <w:rsid w:val="00C07447"/>
    <w:rsid w:val="00C105B4"/>
    <w:rsid w:val="00C12C8F"/>
    <w:rsid w:val="00C24CD0"/>
    <w:rsid w:val="00C25A61"/>
    <w:rsid w:val="00C33C60"/>
    <w:rsid w:val="00C3457A"/>
    <w:rsid w:val="00C35713"/>
    <w:rsid w:val="00C42872"/>
    <w:rsid w:val="00C46162"/>
    <w:rsid w:val="00C471D6"/>
    <w:rsid w:val="00C520BD"/>
    <w:rsid w:val="00C54B7A"/>
    <w:rsid w:val="00C54CD2"/>
    <w:rsid w:val="00C55946"/>
    <w:rsid w:val="00C55D2B"/>
    <w:rsid w:val="00C56637"/>
    <w:rsid w:val="00C625A1"/>
    <w:rsid w:val="00C650FD"/>
    <w:rsid w:val="00C66D0B"/>
    <w:rsid w:val="00C679C7"/>
    <w:rsid w:val="00C70F33"/>
    <w:rsid w:val="00C73144"/>
    <w:rsid w:val="00C73848"/>
    <w:rsid w:val="00C81A02"/>
    <w:rsid w:val="00C82318"/>
    <w:rsid w:val="00C83E38"/>
    <w:rsid w:val="00C84426"/>
    <w:rsid w:val="00C9110D"/>
    <w:rsid w:val="00C96FC5"/>
    <w:rsid w:val="00CA4D43"/>
    <w:rsid w:val="00CA5584"/>
    <w:rsid w:val="00CA65C6"/>
    <w:rsid w:val="00CA7CB7"/>
    <w:rsid w:val="00CA7FB7"/>
    <w:rsid w:val="00CB0354"/>
    <w:rsid w:val="00CB2672"/>
    <w:rsid w:val="00CB4C97"/>
    <w:rsid w:val="00CC268A"/>
    <w:rsid w:val="00CC3647"/>
    <w:rsid w:val="00CC3937"/>
    <w:rsid w:val="00CC5BFC"/>
    <w:rsid w:val="00CC6142"/>
    <w:rsid w:val="00CC7956"/>
    <w:rsid w:val="00CE0E2F"/>
    <w:rsid w:val="00CE1A5D"/>
    <w:rsid w:val="00CF225B"/>
    <w:rsid w:val="00CF2FE6"/>
    <w:rsid w:val="00D0126B"/>
    <w:rsid w:val="00D04F8F"/>
    <w:rsid w:val="00D07E38"/>
    <w:rsid w:val="00D212F4"/>
    <w:rsid w:val="00D22D66"/>
    <w:rsid w:val="00D24B6C"/>
    <w:rsid w:val="00D25BD4"/>
    <w:rsid w:val="00D30244"/>
    <w:rsid w:val="00D30F59"/>
    <w:rsid w:val="00D31678"/>
    <w:rsid w:val="00D318D3"/>
    <w:rsid w:val="00D32CF7"/>
    <w:rsid w:val="00D367D5"/>
    <w:rsid w:val="00D44116"/>
    <w:rsid w:val="00D47FC2"/>
    <w:rsid w:val="00D50204"/>
    <w:rsid w:val="00D52F68"/>
    <w:rsid w:val="00D5380E"/>
    <w:rsid w:val="00D57AAD"/>
    <w:rsid w:val="00D61286"/>
    <w:rsid w:val="00D640F9"/>
    <w:rsid w:val="00D6412F"/>
    <w:rsid w:val="00D651C1"/>
    <w:rsid w:val="00D66198"/>
    <w:rsid w:val="00D669CE"/>
    <w:rsid w:val="00D71AE3"/>
    <w:rsid w:val="00D733B2"/>
    <w:rsid w:val="00D75610"/>
    <w:rsid w:val="00D77175"/>
    <w:rsid w:val="00D77A39"/>
    <w:rsid w:val="00D81CBE"/>
    <w:rsid w:val="00D93591"/>
    <w:rsid w:val="00D9615E"/>
    <w:rsid w:val="00DA02E0"/>
    <w:rsid w:val="00DA0C0E"/>
    <w:rsid w:val="00DA15B1"/>
    <w:rsid w:val="00DA1BF3"/>
    <w:rsid w:val="00DA47EB"/>
    <w:rsid w:val="00DA4CEC"/>
    <w:rsid w:val="00DA7550"/>
    <w:rsid w:val="00DB0B4A"/>
    <w:rsid w:val="00DB1832"/>
    <w:rsid w:val="00DB1E5E"/>
    <w:rsid w:val="00DB3370"/>
    <w:rsid w:val="00DC3D1D"/>
    <w:rsid w:val="00DC54B9"/>
    <w:rsid w:val="00DD0E93"/>
    <w:rsid w:val="00DD1193"/>
    <w:rsid w:val="00DD233E"/>
    <w:rsid w:val="00DE080B"/>
    <w:rsid w:val="00DE0CA0"/>
    <w:rsid w:val="00DE4411"/>
    <w:rsid w:val="00DF21D0"/>
    <w:rsid w:val="00DF2EF1"/>
    <w:rsid w:val="00DF5FFC"/>
    <w:rsid w:val="00DF69B7"/>
    <w:rsid w:val="00DF69EC"/>
    <w:rsid w:val="00E000F1"/>
    <w:rsid w:val="00E01573"/>
    <w:rsid w:val="00E0219B"/>
    <w:rsid w:val="00E02D8A"/>
    <w:rsid w:val="00E03CCC"/>
    <w:rsid w:val="00E1630B"/>
    <w:rsid w:val="00E213EA"/>
    <w:rsid w:val="00E217F5"/>
    <w:rsid w:val="00E260C1"/>
    <w:rsid w:val="00E269A8"/>
    <w:rsid w:val="00E36D12"/>
    <w:rsid w:val="00E4051D"/>
    <w:rsid w:val="00E43F81"/>
    <w:rsid w:val="00E4678B"/>
    <w:rsid w:val="00E50649"/>
    <w:rsid w:val="00E50F5E"/>
    <w:rsid w:val="00E5107E"/>
    <w:rsid w:val="00E57D5C"/>
    <w:rsid w:val="00E60423"/>
    <w:rsid w:val="00E625B9"/>
    <w:rsid w:val="00E641FE"/>
    <w:rsid w:val="00E66E6F"/>
    <w:rsid w:val="00E826C1"/>
    <w:rsid w:val="00E86A24"/>
    <w:rsid w:val="00E91738"/>
    <w:rsid w:val="00E93575"/>
    <w:rsid w:val="00E93F42"/>
    <w:rsid w:val="00E97424"/>
    <w:rsid w:val="00E97B9F"/>
    <w:rsid w:val="00EA076B"/>
    <w:rsid w:val="00EA50F7"/>
    <w:rsid w:val="00EA66C5"/>
    <w:rsid w:val="00EC0721"/>
    <w:rsid w:val="00EC1F74"/>
    <w:rsid w:val="00EC31D7"/>
    <w:rsid w:val="00ED3EEE"/>
    <w:rsid w:val="00EE06CE"/>
    <w:rsid w:val="00EF2A94"/>
    <w:rsid w:val="00EF5C0B"/>
    <w:rsid w:val="00F057C1"/>
    <w:rsid w:val="00F05C88"/>
    <w:rsid w:val="00F07FDF"/>
    <w:rsid w:val="00F159A2"/>
    <w:rsid w:val="00F160B5"/>
    <w:rsid w:val="00F160F8"/>
    <w:rsid w:val="00F17DBA"/>
    <w:rsid w:val="00F20922"/>
    <w:rsid w:val="00F243BE"/>
    <w:rsid w:val="00F31AC4"/>
    <w:rsid w:val="00F33A49"/>
    <w:rsid w:val="00F340BD"/>
    <w:rsid w:val="00F35647"/>
    <w:rsid w:val="00F42CC3"/>
    <w:rsid w:val="00F52576"/>
    <w:rsid w:val="00F63BBA"/>
    <w:rsid w:val="00F650DB"/>
    <w:rsid w:val="00F7466B"/>
    <w:rsid w:val="00F74757"/>
    <w:rsid w:val="00F8286C"/>
    <w:rsid w:val="00F90FE9"/>
    <w:rsid w:val="00F9452A"/>
    <w:rsid w:val="00F95903"/>
    <w:rsid w:val="00FA25ED"/>
    <w:rsid w:val="00FA3418"/>
    <w:rsid w:val="00FA6500"/>
    <w:rsid w:val="00FA74E3"/>
    <w:rsid w:val="00FB1AF9"/>
    <w:rsid w:val="00FB26F0"/>
    <w:rsid w:val="00FC0D3B"/>
    <w:rsid w:val="00FD217C"/>
    <w:rsid w:val="00FE05C7"/>
    <w:rsid w:val="00FE409D"/>
    <w:rsid w:val="00FE5A55"/>
    <w:rsid w:val="00FF2794"/>
    <w:rsid w:val="0349E4F9"/>
    <w:rsid w:val="037E7753"/>
    <w:rsid w:val="09D24D39"/>
    <w:rsid w:val="110B1FCB"/>
    <w:rsid w:val="119E7787"/>
    <w:rsid w:val="15BEC71F"/>
    <w:rsid w:val="17216BD7"/>
    <w:rsid w:val="1DFAD398"/>
    <w:rsid w:val="265AFD2E"/>
    <w:rsid w:val="265E70FE"/>
    <w:rsid w:val="37B7895C"/>
    <w:rsid w:val="40FD2EDE"/>
    <w:rsid w:val="4B1EE7A1"/>
    <w:rsid w:val="4B885312"/>
    <w:rsid w:val="4BCDD408"/>
    <w:rsid w:val="52F956B3"/>
    <w:rsid w:val="6B5807AC"/>
    <w:rsid w:val="724A67C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55A74"/>
  <w15:chartTrackingRefBased/>
  <w15:docId w15:val="{D58D09CA-D00F-4604-87F0-43A9D2840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0D3B"/>
  </w:style>
  <w:style w:type="paragraph" w:styleId="Ttulo1">
    <w:name w:val="heading 1"/>
    <w:basedOn w:val="Normal"/>
    <w:next w:val="Normal"/>
    <w:link w:val="Ttulo1Car"/>
    <w:qFormat/>
    <w:rsid w:val="009B6D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9B6D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semiHidden/>
    <w:unhideWhenUsed/>
    <w:qFormat/>
    <w:rsid w:val="009B6D8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nhideWhenUsed/>
    <w:qFormat/>
    <w:rsid w:val="009B6D8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B6D8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B6D8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B6D8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B6D8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B6D8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B6D8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9B6D8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semiHidden/>
    <w:rsid w:val="009B6D8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rsid w:val="009B6D85"/>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B6D8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B6D8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B6D8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B6D8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B6D85"/>
    <w:rPr>
      <w:rFonts w:eastAsiaTheme="majorEastAsia" w:cstheme="majorBidi"/>
      <w:color w:val="272727" w:themeColor="text1" w:themeTint="D8"/>
    </w:rPr>
  </w:style>
  <w:style w:type="paragraph" w:styleId="Ttulo">
    <w:name w:val="Title"/>
    <w:basedOn w:val="Normal"/>
    <w:next w:val="Normal"/>
    <w:link w:val="TtuloCar"/>
    <w:qFormat/>
    <w:rsid w:val="009B6D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9B6D8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B6D8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B6D8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B6D85"/>
    <w:pPr>
      <w:spacing w:before="160"/>
      <w:jc w:val="center"/>
    </w:pPr>
    <w:rPr>
      <w:i/>
      <w:iCs/>
      <w:color w:val="404040" w:themeColor="text1" w:themeTint="BF"/>
    </w:rPr>
  </w:style>
  <w:style w:type="character" w:customStyle="1" w:styleId="CitaCar">
    <w:name w:val="Cita Car"/>
    <w:basedOn w:val="Fuentedeprrafopredeter"/>
    <w:link w:val="Cita"/>
    <w:uiPriority w:val="29"/>
    <w:rsid w:val="009B6D85"/>
    <w:rPr>
      <w:i/>
      <w:iCs/>
      <w:color w:val="404040" w:themeColor="text1" w:themeTint="BF"/>
    </w:rPr>
  </w:style>
  <w:style w:type="paragraph" w:styleId="Prrafodelista">
    <w:name w:val="List Paragraph"/>
    <w:aliases w:val="EY EPM - Lista"/>
    <w:basedOn w:val="Normal"/>
    <w:link w:val="PrrafodelistaCar"/>
    <w:uiPriority w:val="34"/>
    <w:qFormat/>
    <w:rsid w:val="009B6D85"/>
    <w:pPr>
      <w:ind w:left="720"/>
      <w:contextualSpacing/>
    </w:pPr>
  </w:style>
  <w:style w:type="character" w:styleId="nfasisintenso">
    <w:name w:val="Intense Emphasis"/>
    <w:basedOn w:val="Fuentedeprrafopredeter"/>
    <w:uiPriority w:val="21"/>
    <w:qFormat/>
    <w:rsid w:val="009B6D85"/>
    <w:rPr>
      <w:i/>
      <w:iCs/>
      <w:color w:val="0F4761" w:themeColor="accent1" w:themeShade="BF"/>
    </w:rPr>
  </w:style>
  <w:style w:type="paragraph" w:styleId="Citadestacada">
    <w:name w:val="Intense Quote"/>
    <w:basedOn w:val="Normal"/>
    <w:next w:val="Normal"/>
    <w:link w:val="CitadestacadaCar"/>
    <w:uiPriority w:val="30"/>
    <w:qFormat/>
    <w:rsid w:val="009B6D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B6D85"/>
    <w:rPr>
      <w:i/>
      <w:iCs/>
      <w:color w:val="0F4761" w:themeColor="accent1" w:themeShade="BF"/>
    </w:rPr>
  </w:style>
  <w:style w:type="character" w:styleId="Referenciaintensa">
    <w:name w:val="Intense Reference"/>
    <w:basedOn w:val="Fuentedeprrafopredeter"/>
    <w:uiPriority w:val="32"/>
    <w:qFormat/>
    <w:rsid w:val="009B6D85"/>
    <w:rPr>
      <w:b/>
      <w:bCs/>
      <w:smallCaps/>
      <w:color w:val="0F4761" w:themeColor="accent1" w:themeShade="BF"/>
      <w:spacing w:val="5"/>
    </w:rPr>
  </w:style>
  <w:style w:type="paragraph" w:styleId="Encabezado">
    <w:name w:val="header"/>
    <w:basedOn w:val="Normal"/>
    <w:link w:val="EncabezadoCar"/>
    <w:unhideWhenUsed/>
    <w:rsid w:val="00057BF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57BF6"/>
  </w:style>
  <w:style w:type="paragraph" w:styleId="Piedepgina">
    <w:name w:val="footer"/>
    <w:basedOn w:val="Normal"/>
    <w:link w:val="PiedepginaCar"/>
    <w:uiPriority w:val="99"/>
    <w:unhideWhenUsed/>
    <w:rsid w:val="00057BF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57BF6"/>
  </w:style>
  <w:style w:type="numbering" w:customStyle="1" w:styleId="Sinlista1">
    <w:name w:val="Sin lista1"/>
    <w:next w:val="Sinlista"/>
    <w:uiPriority w:val="99"/>
    <w:semiHidden/>
    <w:unhideWhenUsed/>
    <w:rsid w:val="004362B9"/>
  </w:style>
  <w:style w:type="paragraph" w:styleId="Textoindependiente">
    <w:name w:val="Body Text"/>
    <w:basedOn w:val="Normal"/>
    <w:link w:val="TextoindependienteCar"/>
    <w:rsid w:val="004362B9"/>
    <w:pPr>
      <w:spacing w:after="0" w:line="240" w:lineRule="auto"/>
      <w:jc w:val="both"/>
    </w:pPr>
    <w:rPr>
      <w:rFonts w:ascii="Arial" w:eastAsia="Times New Roman" w:hAnsi="Arial" w:cs="Times New Roman"/>
      <w:kern w:val="0"/>
      <w:sz w:val="24"/>
      <w:szCs w:val="20"/>
      <w:lang w:eastAsia="es-ES"/>
      <w14:ligatures w14:val="none"/>
    </w:rPr>
  </w:style>
  <w:style w:type="character" w:customStyle="1" w:styleId="TextoindependienteCar">
    <w:name w:val="Texto independiente Car"/>
    <w:basedOn w:val="Fuentedeprrafopredeter"/>
    <w:link w:val="Textoindependiente"/>
    <w:rsid w:val="004362B9"/>
    <w:rPr>
      <w:rFonts w:ascii="Arial" w:eastAsia="Times New Roman" w:hAnsi="Arial" w:cs="Times New Roman"/>
      <w:kern w:val="0"/>
      <w:sz w:val="24"/>
      <w:szCs w:val="20"/>
      <w:lang w:eastAsia="es-ES"/>
      <w14:ligatures w14:val="none"/>
    </w:rPr>
  </w:style>
  <w:style w:type="character" w:styleId="Nmerodepgina">
    <w:name w:val="page number"/>
    <w:basedOn w:val="Fuentedeprrafopredeter"/>
    <w:rsid w:val="004362B9"/>
  </w:style>
  <w:style w:type="paragraph" w:styleId="Textonotapie">
    <w:name w:val="footnote text"/>
    <w:basedOn w:val="Normal"/>
    <w:link w:val="TextonotapieCar"/>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character" w:customStyle="1" w:styleId="TextonotapieCar">
    <w:name w:val="Texto nota pie Car"/>
    <w:basedOn w:val="Fuentedeprrafopredeter"/>
    <w:link w:val="Textonotapie"/>
    <w:rsid w:val="004362B9"/>
    <w:rPr>
      <w:rFonts w:ascii="Times New Roman" w:eastAsia="Times New Roman" w:hAnsi="Times New Roman" w:cs="Times New Roman"/>
      <w:kern w:val="0"/>
      <w:sz w:val="20"/>
      <w:szCs w:val="20"/>
      <w:lang w:val="es-ES" w:eastAsia="es-ES"/>
      <w14:ligatures w14:val="none"/>
    </w:rPr>
  </w:style>
  <w:style w:type="character" w:styleId="Refdenotaalpie">
    <w:name w:val="footnote reference"/>
    <w:basedOn w:val="Fuentedeprrafopredeter"/>
    <w:rsid w:val="004362B9"/>
    <w:rPr>
      <w:vertAlign w:val="superscript"/>
    </w:rPr>
  </w:style>
  <w:style w:type="character" w:styleId="Refdecomentario">
    <w:name w:val="annotation reference"/>
    <w:basedOn w:val="Fuentedeprrafopredeter"/>
    <w:uiPriority w:val="99"/>
    <w:rsid w:val="004362B9"/>
    <w:rPr>
      <w:sz w:val="16"/>
      <w:szCs w:val="16"/>
    </w:rPr>
  </w:style>
  <w:style w:type="paragraph" w:styleId="Textocomentario">
    <w:name w:val="annotation text"/>
    <w:basedOn w:val="Normal"/>
    <w:link w:val="TextocomentarioCar"/>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character" w:customStyle="1" w:styleId="TextocomentarioCar">
    <w:name w:val="Texto comentario Car"/>
    <w:basedOn w:val="Fuentedeprrafopredeter"/>
    <w:link w:val="Textocomentario"/>
    <w:rsid w:val="004362B9"/>
    <w:rPr>
      <w:rFonts w:ascii="Times New Roman" w:eastAsia="Times New Roman" w:hAnsi="Times New Roman" w:cs="Times New Roman"/>
      <w:kern w:val="0"/>
      <w:sz w:val="20"/>
      <w:szCs w:val="20"/>
      <w:lang w:val="es-ES" w:eastAsia="es-ES"/>
      <w14:ligatures w14:val="none"/>
    </w:rPr>
  </w:style>
  <w:style w:type="paragraph" w:styleId="Asuntodelcomentario">
    <w:name w:val="annotation subject"/>
    <w:basedOn w:val="Textocomentario"/>
    <w:next w:val="Textocomentario"/>
    <w:link w:val="AsuntodelcomentarioCar"/>
    <w:rsid w:val="004362B9"/>
    <w:rPr>
      <w:b/>
      <w:bCs/>
    </w:rPr>
  </w:style>
  <w:style w:type="character" w:customStyle="1" w:styleId="AsuntodelcomentarioCar">
    <w:name w:val="Asunto del comentario Car"/>
    <w:basedOn w:val="TextocomentarioCar"/>
    <w:link w:val="Asuntodelcomentario"/>
    <w:rsid w:val="004362B9"/>
    <w:rPr>
      <w:rFonts w:ascii="Times New Roman" w:eastAsia="Times New Roman" w:hAnsi="Times New Roman" w:cs="Times New Roman"/>
      <w:b/>
      <w:bCs/>
      <w:kern w:val="0"/>
      <w:sz w:val="20"/>
      <w:szCs w:val="20"/>
      <w:lang w:val="es-ES" w:eastAsia="es-ES"/>
      <w14:ligatures w14:val="none"/>
    </w:rPr>
  </w:style>
  <w:style w:type="paragraph" w:styleId="Textodeglobo">
    <w:name w:val="Balloon Text"/>
    <w:basedOn w:val="Normal"/>
    <w:link w:val="TextodegloboCar"/>
    <w:rsid w:val="004362B9"/>
    <w:pPr>
      <w:spacing w:after="0" w:line="240" w:lineRule="auto"/>
    </w:pPr>
    <w:rPr>
      <w:rFonts w:ascii="Tahoma" w:eastAsia="Times New Roman" w:hAnsi="Tahoma" w:cs="Tahoma"/>
      <w:kern w:val="0"/>
      <w:sz w:val="16"/>
      <w:szCs w:val="16"/>
      <w:lang w:val="es-ES" w:eastAsia="es-ES"/>
      <w14:ligatures w14:val="none"/>
    </w:rPr>
  </w:style>
  <w:style w:type="character" w:customStyle="1" w:styleId="TextodegloboCar">
    <w:name w:val="Texto de globo Car"/>
    <w:basedOn w:val="Fuentedeprrafopredeter"/>
    <w:link w:val="Textodeglobo"/>
    <w:rsid w:val="004362B9"/>
    <w:rPr>
      <w:rFonts w:ascii="Tahoma" w:eastAsia="Times New Roman" w:hAnsi="Tahoma" w:cs="Tahoma"/>
      <w:kern w:val="0"/>
      <w:sz w:val="16"/>
      <w:szCs w:val="16"/>
      <w:lang w:val="es-ES" w:eastAsia="es-ES"/>
      <w14:ligatures w14:val="none"/>
    </w:rPr>
  </w:style>
  <w:style w:type="paragraph" w:customStyle="1" w:styleId="Default">
    <w:name w:val="Default"/>
    <w:rsid w:val="004362B9"/>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es-CO"/>
      <w14:ligatures w14:val="none"/>
    </w:rPr>
  </w:style>
  <w:style w:type="paragraph" w:styleId="Sinespaciado">
    <w:name w:val="No Spacing"/>
    <w:uiPriority w:val="1"/>
    <w:qFormat/>
    <w:rsid w:val="004362B9"/>
    <w:pPr>
      <w:spacing w:after="0" w:line="240" w:lineRule="auto"/>
    </w:pPr>
    <w:rPr>
      <w:rFonts w:ascii="Times New Roman" w:eastAsia="Times New Roman" w:hAnsi="Times New Roman" w:cs="Times New Roman"/>
      <w:kern w:val="0"/>
      <w:sz w:val="20"/>
      <w:szCs w:val="20"/>
      <w:lang w:val="es-ES" w:eastAsia="es-CO"/>
      <w14:ligatures w14:val="none"/>
    </w:rPr>
  </w:style>
  <w:style w:type="numbering" w:customStyle="1" w:styleId="Estilo1">
    <w:name w:val="Estilo1"/>
    <w:rsid w:val="004362B9"/>
    <w:pPr>
      <w:numPr>
        <w:numId w:val="1"/>
      </w:numPr>
    </w:pPr>
  </w:style>
  <w:style w:type="paragraph" w:styleId="Lista">
    <w:name w:val="List"/>
    <w:basedOn w:val="Normal"/>
    <w:rsid w:val="004362B9"/>
    <w:pPr>
      <w:spacing w:after="0" w:line="240" w:lineRule="auto"/>
      <w:ind w:left="283" w:hanging="283"/>
      <w:contextualSpacing/>
    </w:pPr>
    <w:rPr>
      <w:rFonts w:ascii="Times New Roman" w:eastAsia="Times New Roman" w:hAnsi="Times New Roman" w:cs="Times New Roman"/>
      <w:kern w:val="0"/>
      <w:sz w:val="20"/>
      <w:szCs w:val="20"/>
      <w:lang w:val="es-ES" w:eastAsia="es-ES"/>
      <w14:ligatures w14:val="none"/>
    </w:rPr>
  </w:style>
  <w:style w:type="paragraph" w:styleId="Listaconvietas2">
    <w:name w:val="List Bullet 2"/>
    <w:basedOn w:val="Normal"/>
    <w:rsid w:val="004362B9"/>
    <w:pPr>
      <w:numPr>
        <w:numId w:val="2"/>
      </w:numPr>
      <w:spacing w:after="0" w:line="240" w:lineRule="auto"/>
      <w:contextualSpacing/>
    </w:pPr>
    <w:rPr>
      <w:rFonts w:ascii="Times New Roman" w:eastAsia="Times New Roman" w:hAnsi="Times New Roman" w:cs="Times New Roman"/>
      <w:kern w:val="0"/>
      <w:sz w:val="20"/>
      <w:szCs w:val="20"/>
      <w:lang w:val="es-ES" w:eastAsia="es-ES"/>
      <w14:ligatures w14:val="none"/>
    </w:rPr>
  </w:style>
  <w:style w:type="paragraph" w:styleId="Continuarlista">
    <w:name w:val="List Continue"/>
    <w:basedOn w:val="Normal"/>
    <w:rsid w:val="004362B9"/>
    <w:pPr>
      <w:spacing w:after="120" w:line="240" w:lineRule="auto"/>
      <w:ind w:left="283"/>
      <w:contextualSpacing/>
    </w:pPr>
    <w:rPr>
      <w:rFonts w:ascii="Times New Roman" w:eastAsia="Times New Roman" w:hAnsi="Times New Roman" w:cs="Times New Roman"/>
      <w:kern w:val="0"/>
      <w:sz w:val="20"/>
      <w:szCs w:val="20"/>
      <w:lang w:val="es-ES" w:eastAsia="es-ES"/>
      <w14:ligatures w14:val="none"/>
    </w:rPr>
  </w:style>
  <w:style w:type="paragraph" w:styleId="Continuarlista2">
    <w:name w:val="List Continue 2"/>
    <w:basedOn w:val="Normal"/>
    <w:rsid w:val="004362B9"/>
    <w:pPr>
      <w:spacing w:after="120" w:line="240" w:lineRule="auto"/>
      <w:ind w:left="566"/>
      <w:contextualSpacing/>
    </w:pPr>
    <w:rPr>
      <w:rFonts w:ascii="Times New Roman" w:eastAsia="Times New Roman" w:hAnsi="Times New Roman" w:cs="Times New Roman"/>
      <w:kern w:val="0"/>
      <w:sz w:val="20"/>
      <w:szCs w:val="20"/>
      <w:lang w:val="es-ES" w:eastAsia="es-ES"/>
      <w14:ligatures w14:val="none"/>
    </w:rPr>
  </w:style>
  <w:style w:type="paragraph" w:styleId="Sangradetextonormal">
    <w:name w:val="Body Text Indent"/>
    <w:basedOn w:val="Normal"/>
    <w:link w:val="SangradetextonormalCar"/>
    <w:rsid w:val="004362B9"/>
    <w:pPr>
      <w:spacing w:after="120" w:line="240" w:lineRule="auto"/>
      <w:ind w:left="283"/>
    </w:pPr>
    <w:rPr>
      <w:rFonts w:ascii="Times New Roman" w:eastAsia="Times New Roman" w:hAnsi="Times New Roman" w:cs="Times New Roman"/>
      <w:kern w:val="0"/>
      <w:sz w:val="20"/>
      <w:szCs w:val="20"/>
      <w:lang w:val="es-ES" w:eastAsia="es-ES"/>
      <w14:ligatures w14:val="none"/>
    </w:rPr>
  </w:style>
  <w:style w:type="character" w:customStyle="1" w:styleId="SangradetextonormalCar">
    <w:name w:val="Sangría de texto normal Car"/>
    <w:basedOn w:val="Fuentedeprrafopredeter"/>
    <w:link w:val="Sangradetextonormal"/>
    <w:rsid w:val="004362B9"/>
    <w:rPr>
      <w:rFonts w:ascii="Times New Roman" w:eastAsia="Times New Roman" w:hAnsi="Times New Roman" w:cs="Times New Roman"/>
      <w:kern w:val="0"/>
      <w:sz w:val="20"/>
      <w:szCs w:val="20"/>
      <w:lang w:val="es-ES" w:eastAsia="es-ES"/>
      <w14:ligatures w14:val="none"/>
    </w:rPr>
  </w:style>
  <w:style w:type="paragraph" w:styleId="Textoindependienteprimerasangra2">
    <w:name w:val="Body Text First Indent 2"/>
    <w:basedOn w:val="Sangradetextonormal"/>
    <w:link w:val="Textoindependienteprimerasangra2Car"/>
    <w:rsid w:val="004362B9"/>
    <w:pPr>
      <w:spacing w:after="0"/>
      <w:ind w:left="360" w:firstLine="360"/>
    </w:pPr>
  </w:style>
  <w:style w:type="character" w:customStyle="1" w:styleId="Textoindependienteprimerasangra2Car">
    <w:name w:val="Texto independiente primera sangría 2 Car"/>
    <w:basedOn w:val="SangradetextonormalCar"/>
    <w:link w:val="Textoindependienteprimerasangra2"/>
    <w:rsid w:val="004362B9"/>
    <w:rPr>
      <w:rFonts w:ascii="Times New Roman" w:eastAsia="Times New Roman" w:hAnsi="Times New Roman" w:cs="Times New Roman"/>
      <w:kern w:val="0"/>
      <w:sz w:val="20"/>
      <w:szCs w:val="20"/>
      <w:lang w:val="es-ES" w:eastAsia="es-ES"/>
      <w14:ligatures w14:val="none"/>
    </w:rPr>
  </w:style>
  <w:style w:type="table" w:styleId="Tablaconcuadrcula">
    <w:name w:val="Table Grid"/>
    <w:basedOn w:val="Tablanormal"/>
    <w:rsid w:val="004362B9"/>
    <w:pPr>
      <w:spacing w:after="0" w:line="240" w:lineRule="auto"/>
    </w:pPr>
    <w:rPr>
      <w:rFonts w:ascii="Times New Roman" w:eastAsia="Times New Roman" w:hAnsi="Times New Roman" w:cs="Times New Roman"/>
      <w:kern w:val="0"/>
      <w:sz w:val="20"/>
      <w:szCs w:val="20"/>
      <w:lang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uerpodeltexto">
    <w:name w:val="Cuerpo del texto_"/>
    <w:basedOn w:val="Fuentedeprrafopredeter"/>
    <w:link w:val="Cuerpodeltexto0"/>
    <w:locked/>
    <w:rsid w:val="004362B9"/>
    <w:rPr>
      <w:rFonts w:ascii="Calibri" w:eastAsia="Calibri" w:hAnsi="Calibri" w:cs="Calibri"/>
      <w:spacing w:val="2"/>
      <w:sz w:val="19"/>
      <w:szCs w:val="19"/>
      <w:shd w:val="clear" w:color="auto" w:fill="FFFFFF"/>
    </w:rPr>
  </w:style>
  <w:style w:type="paragraph" w:customStyle="1" w:styleId="Cuerpodeltexto0">
    <w:name w:val="Cuerpo del texto"/>
    <w:basedOn w:val="Normal"/>
    <w:link w:val="Cuerpodeltexto"/>
    <w:rsid w:val="004362B9"/>
    <w:pPr>
      <w:widowControl w:val="0"/>
      <w:shd w:val="clear" w:color="auto" w:fill="FFFFFF"/>
      <w:spacing w:before="360" w:after="240" w:line="269" w:lineRule="exact"/>
      <w:ind w:hanging="360"/>
      <w:jc w:val="both"/>
    </w:pPr>
    <w:rPr>
      <w:rFonts w:ascii="Calibri" w:eastAsia="Calibri" w:hAnsi="Calibri" w:cs="Calibri"/>
      <w:spacing w:val="2"/>
      <w:sz w:val="19"/>
      <w:szCs w:val="19"/>
    </w:rPr>
  </w:style>
  <w:style w:type="paragraph" w:styleId="Revisin">
    <w:name w:val="Revision"/>
    <w:hidden/>
    <w:uiPriority w:val="99"/>
    <w:semiHidden/>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paragraph" w:styleId="NormalWeb">
    <w:name w:val="Normal (Web)"/>
    <w:basedOn w:val="Normal"/>
    <w:uiPriority w:val="99"/>
    <w:unhideWhenUsed/>
    <w:rsid w:val="004362B9"/>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customStyle="1" w:styleId="Ttulo50">
    <w:name w:val="Título #5_"/>
    <w:basedOn w:val="Fuentedeprrafopredeter"/>
    <w:link w:val="Ttulo51"/>
    <w:rsid w:val="004362B9"/>
    <w:rPr>
      <w:rFonts w:ascii="Calibri" w:eastAsia="Calibri" w:hAnsi="Calibri" w:cs="Calibri"/>
      <w:b/>
      <w:bCs/>
      <w:spacing w:val="1"/>
      <w:shd w:val="clear" w:color="auto" w:fill="FFFFFF"/>
    </w:rPr>
  </w:style>
  <w:style w:type="paragraph" w:customStyle="1" w:styleId="Ttulo51">
    <w:name w:val="Título #5"/>
    <w:basedOn w:val="Normal"/>
    <w:link w:val="Ttulo50"/>
    <w:rsid w:val="004362B9"/>
    <w:pPr>
      <w:widowControl w:val="0"/>
      <w:shd w:val="clear" w:color="auto" w:fill="FFFFFF"/>
      <w:spacing w:before="240" w:after="240" w:line="0" w:lineRule="atLeast"/>
      <w:ind w:hanging="360"/>
      <w:jc w:val="both"/>
      <w:outlineLvl w:val="4"/>
    </w:pPr>
    <w:rPr>
      <w:rFonts w:ascii="Calibri" w:eastAsia="Calibri" w:hAnsi="Calibri" w:cs="Calibri"/>
      <w:b/>
      <w:bCs/>
      <w:spacing w:val="1"/>
    </w:rPr>
  </w:style>
  <w:style w:type="paragraph" w:customStyle="1" w:styleId="CM913">
    <w:name w:val="CM9+13"/>
    <w:basedOn w:val="Default"/>
    <w:next w:val="Default"/>
    <w:uiPriority w:val="99"/>
    <w:rsid w:val="004362B9"/>
    <w:pPr>
      <w:spacing w:line="278" w:lineRule="atLeast"/>
    </w:pPr>
    <w:rPr>
      <w:rFonts w:ascii="Arial" w:hAnsi="Arial" w:cs="Arial"/>
      <w:color w:val="auto"/>
    </w:rPr>
  </w:style>
  <w:style w:type="character" w:styleId="Hipervnculo">
    <w:name w:val="Hyperlink"/>
    <w:basedOn w:val="Fuentedeprrafopredeter"/>
    <w:uiPriority w:val="99"/>
    <w:unhideWhenUsed/>
    <w:rsid w:val="004362B9"/>
    <w:rPr>
      <w:color w:val="0000FF"/>
      <w:u w:val="single"/>
    </w:rPr>
  </w:style>
  <w:style w:type="character" w:customStyle="1" w:styleId="il">
    <w:name w:val="il"/>
    <w:basedOn w:val="Fuentedeprrafopredeter"/>
    <w:rsid w:val="004362B9"/>
  </w:style>
  <w:style w:type="paragraph" w:styleId="Textoindependiente2">
    <w:name w:val="Body Text 2"/>
    <w:basedOn w:val="Normal"/>
    <w:link w:val="Textoindependiente2Car"/>
    <w:unhideWhenUsed/>
    <w:rsid w:val="004362B9"/>
    <w:pPr>
      <w:spacing w:after="120" w:line="480" w:lineRule="auto"/>
    </w:pPr>
    <w:rPr>
      <w:rFonts w:ascii="Times New Roman" w:eastAsia="Times New Roman" w:hAnsi="Times New Roman" w:cs="Times New Roman"/>
      <w:kern w:val="0"/>
      <w:sz w:val="20"/>
      <w:szCs w:val="20"/>
      <w:lang w:val="es-ES" w:eastAsia="es-ES"/>
      <w14:ligatures w14:val="none"/>
    </w:rPr>
  </w:style>
  <w:style w:type="character" w:customStyle="1" w:styleId="Textoindependiente2Car">
    <w:name w:val="Texto independiente 2 Car"/>
    <w:basedOn w:val="Fuentedeprrafopredeter"/>
    <w:link w:val="Textoindependiente2"/>
    <w:rsid w:val="004362B9"/>
    <w:rPr>
      <w:rFonts w:ascii="Times New Roman" w:eastAsia="Times New Roman" w:hAnsi="Times New Roman" w:cs="Times New Roman"/>
      <w:kern w:val="0"/>
      <w:sz w:val="20"/>
      <w:szCs w:val="20"/>
      <w:lang w:val="es-ES" w:eastAsia="es-ES"/>
      <w14:ligatures w14:val="none"/>
    </w:rPr>
  </w:style>
  <w:style w:type="paragraph" w:customStyle="1" w:styleId="CM129">
    <w:name w:val="CM129"/>
    <w:basedOn w:val="Default"/>
    <w:next w:val="Default"/>
    <w:uiPriority w:val="99"/>
    <w:rsid w:val="004362B9"/>
    <w:rPr>
      <w:rFonts w:ascii="Arial" w:hAnsi="Arial" w:cs="Arial"/>
      <w:color w:val="auto"/>
    </w:rPr>
  </w:style>
  <w:style w:type="paragraph" w:customStyle="1" w:styleId="Titulo">
    <w:name w:val="Titulo"/>
    <w:basedOn w:val="Textoindependiente2"/>
    <w:link w:val="TituloCar"/>
    <w:rsid w:val="00A87AE4"/>
    <w:pPr>
      <w:numPr>
        <w:ilvl w:val="1"/>
        <w:numId w:val="3"/>
      </w:numPr>
      <w:spacing w:after="0" w:line="240" w:lineRule="auto"/>
      <w:jc w:val="both"/>
    </w:pPr>
    <w:rPr>
      <w:rFonts w:ascii="Arial" w:hAnsi="Arial" w:cs="Arial"/>
      <w:b/>
      <w:bCs/>
      <w:sz w:val="24"/>
      <w:szCs w:val="24"/>
    </w:rPr>
  </w:style>
  <w:style w:type="paragraph" w:customStyle="1" w:styleId="Titulo2">
    <w:name w:val="Titulo 2"/>
    <w:basedOn w:val="Titulo"/>
    <w:rsid w:val="00A87AE4"/>
    <w:pPr>
      <w:numPr>
        <w:ilvl w:val="0"/>
        <w:numId w:val="0"/>
      </w:numPr>
    </w:pPr>
  </w:style>
  <w:style w:type="character" w:customStyle="1" w:styleId="Titulo3Car">
    <w:name w:val="Titulo 3 Car"/>
    <w:basedOn w:val="Fuentedeprrafopredeter"/>
    <w:link w:val="Titulo3"/>
    <w:rsid w:val="00A87AE4"/>
    <w:rPr>
      <w:rFonts w:ascii="Arial" w:hAnsi="Arial" w:cs="Arial"/>
      <w:b/>
      <w:bCs/>
      <w:sz w:val="24"/>
      <w:szCs w:val="24"/>
      <w:lang w:val="es-ES" w:eastAsia="es-ES"/>
    </w:rPr>
  </w:style>
  <w:style w:type="paragraph" w:customStyle="1" w:styleId="Titulo3">
    <w:name w:val="Titulo 3"/>
    <w:basedOn w:val="Titulo"/>
    <w:link w:val="Titulo3Car"/>
    <w:rsid w:val="00A87AE4"/>
    <w:pPr>
      <w:numPr>
        <w:numId w:val="4"/>
      </w:numPr>
      <w:tabs>
        <w:tab w:val="clear" w:pos="1080"/>
        <w:tab w:val="num" w:pos="643"/>
      </w:tabs>
      <w:ind w:left="643"/>
    </w:pPr>
    <w:rPr>
      <w:rFonts w:eastAsiaTheme="minorHAnsi"/>
      <w:kern w:val="2"/>
      <w14:ligatures w14:val="standardContextual"/>
    </w:rPr>
  </w:style>
  <w:style w:type="character" w:customStyle="1" w:styleId="TituloCar">
    <w:name w:val="Titulo Car"/>
    <w:link w:val="Titulo"/>
    <w:rsid w:val="00A87AE4"/>
    <w:rPr>
      <w:rFonts w:ascii="Arial" w:eastAsia="Times New Roman" w:hAnsi="Arial" w:cs="Arial"/>
      <w:b/>
      <w:bCs/>
      <w:kern w:val="0"/>
      <w:sz w:val="24"/>
      <w:szCs w:val="24"/>
      <w:lang w:val="es-ES" w:eastAsia="es-ES"/>
      <w14:ligatures w14:val="none"/>
    </w:rPr>
  </w:style>
  <w:style w:type="character" w:customStyle="1" w:styleId="PrrafodelistaCar">
    <w:name w:val="Párrafo de lista Car"/>
    <w:aliases w:val="EY EPM - Lista Car"/>
    <w:link w:val="Prrafodelista"/>
    <w:uiPriority w:val="34"/>
    <w:locked/>
    <w:rsid w:val="00A87AE4"/>
  </w:style>
  <w:style w:type="character" w:styleId="Mencinsinresolver">
    <w:name w:val="Unresolved Mention"/>
    <w:basedOn w:val="Fuentedeprrafopredeter"/>
    <w:uiPriority w:val="99"/>
    <w:semiHidden/>
    <w:unhideWhenUsed/>
    <w:rsid w:val="005A1B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7415902">
      <w:bodyDiv w:val="1"/>
      <w:marLeft w:val="0"/>
      <w:marRight w:val="0"/>
      <w:marTop w:val="0"/>
      <w:marBottom w:val="0"/>
      <w:divBdr>
        <w:top w:val="none" w:sz="0" w:space="0" w:color="auto"/>
        <w:left w:val="none" w:sz="0" w:space="0" w:color="auto"/>
        <w:bottom w:val="none" w:sz="0" w:space="0" w:color="auto"/>
        <w:right w:val="none" w:sz="0" w:space="0" w:color="auto"/>
      </w:divBdr>
    </w:div>
    <w:div w:id="1949003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290EDD85D54448945021AB426BB1AA" ma:contentTypeVersion="4" ma:contentTypeDescription="Create a new document." ma:contentTypeScope="" ma:versionID="098e3706ed5979f7f6c2f0831e6d0d1f">
  <xsd:schema xmlns:xsd="http://www.w3.org/2001/XMLSchema" xmlns:xs="http://www.w3.org/2001/XMLSchema" xmlns:p="http://schemas.microsoft.com/office/2006/metadata/properties" xmlns:ns2="2a2b5300-3ccb-49f7-9f7a-17baa5e872e9" targetNamespace="http://schemas.microsoft.com/office/2006/metadata/properties" ma:root="true" ma:fieldsID="123272e75384d636ca165b462bc20b7d" ns2:_="">
    <xsd:import namespace="2a2b5300-3ccb-49f7-9f7a-17baa5e872e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2b5300-3ccb-49f7-9f7a-17baa5e872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34249-7492-4A68-B6EF-A3FEB8751D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2b5300-3ccb-49f7-9f7a-17baa5e872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CD7826-EC9E-4AC0-82C0-213E5C0AE05A}">
  <ds:schemaRefs>
    <ds:schemaRef ds:uri="http://schemas.microsoft.com/sharepoint/v3/contenttype/forms"/>
  </ds:schemaRefs>
</ds:datastoreItem>
</file>

<file path=customXml/itemProps3.xml><?xml version="1.0" encoding="utf-8"?>
<ds:datastoreItem xmlns:ds="http://schemas.openxmlformats.org/officeDocument/2006/customXml" ds:itemID="{0DFF0E48-35D5-4BAC-889B-383B8F140AA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89051A1-48BE-464E-865C-A1F3028A8FEF}">
  <ds:schemaRefs>
    <ds:schemaRef ds:uri="http://schemas.openxmlformats.org/officeDocument/2006/bibliography"/>
  </ds:schemaRefs>
</ds:datastoreItem>
</file>

<file path=docMetadata/LabelInfo.xml><?xml version="1.0" encoding="utf-8"?>
<clbl:labelList xmlns:clbl="http://schemas.microsoft.com/office/2020/mipLabelMetadata">
  <clbl:label id="{54ce047a-5408-4222-b374-baf2709ff49a}" enabled="1" method="Standard" siteId="{eafff98e-79a5-4bb5-918f-0a7a14c4bbef}" removed="0"/>
</clbl:labelList>
</file>

<file path=docProps/app.xml><?xml version="1.0" encoding="utf-8"?>
<Properties xmlns="http://schemas.openxmlformats.org/officeDocument/2006/extended-properties" xmlns:vt="http://schemas.openxmlformats.org/officeDocument/2006/docPropsVTypes">
  <Template>Normal</Template>
  <TotalTime>3</TotalTime>
  <Pages>8</Pages>
  <Words>2733</Words>
  <Characters>15035</Characters>
  <Application>Microsoft Office Word</Application>
  <DocSecurity>0</DocSecurity>
  <Lines>125</Lines>
  <Paragraphs>35</Paragraphs>
  <ScaleCrop>false</ScaleCrop>
  <Company/>
  <LinksUpToDate>false</LinksUpToDate>
  <CharactersWithSpaces>17733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Sebastián Durán Méndez</dc:creator>
  <cp:keywords/>
  <dc:description/>
  <cp:lastModifiedBy>Carlos Ignacio Bolanos Dominguez</cp:lastModifiedBy>
  <cp:revision>4</cp:revision>
  <cp:lastPrinted>2026-05-20T19:26:00Z</cp:lastPrinted>
  <dcterms:created xsi:type="dcterms:W3CDTF">2026-08-28T17:02:00Z</dcterms:created>
  <dcterms:modified xsi:type="dcterms:W3CDTF">2026-08-28T20:26:00Z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0x0101003F290EDD85D54448945021AB426BB1AA</vt:lpwstr>
  </property>
  <property fmtid="{D5CDD505-2E9C-101B-9397-08002B2CF9AE}" pid="3" name="Order">
    <vt:r8>89800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docLang">
    <vt:lpwstr>es</vt:lpwstr>
  </property>
</Properties>
</file>